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81622" w:rsidRDefault="003268BA" w:rsidP="00A81622">
      <w:pPr>
        <w:rPr>
          <w:rFonts w:asciiTheme="majorHAnsi" w:hAnsiTheme="majorHAnsi" w:cstheme="majorHAnsi"/>
          <w:b/>
        </w:rPr>
      </w:pPr>
      <w:r w:rsidRPr="00A81622">
        <w:rPr>
          <w:rFonts w:asciiTheme="majorHAnsi" w:hAnsiTheme="majorHAnsi" w:cstheme="majorHAnsi"/>
          <w:b/>
        </w:rPr>
        <w:t xml:space="preserve">3GPP TSG-RAN WG1 </w:t>
      </w:r>
      <w:r w:rsidR="008D4A7C">
        <w:rPr>
          <w:rFonts w:asciiTheme="majorHAnsi" w:hAnsiTheme="majorHAnsi" w:cstheme="majorHAnsi"/>
          <w:b/>
        </w:rPr>
        <w:t>#88</w:t>
      </w:r>
      <w:r w:rsidR="003108F6">
        <w:rPr>
          <w:rFonts w:asciiTheme="majorHAnsi" w:hAnsiTheme="majorHAnsi" w:cstheme="majorHAnsi"/>
          <w:b/>
        </w:rPr>
        <w:t>b</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t xml:space="preserve">                  </w:t>
      </w:r>
      <w:r w:rsidR="003D4A6A" w:rsidRPr="003D4A6A">
        <w:rPr>
          <w:rFonts w:asciiTheme="majorHAnsi" w:hAnsiTheme="majorHAnsi" w:cstheme="majorHAnsi"/>
          <w:b/>
        </w:rPr>
        <w:t>R1-1704813</w:t>
      </w:r>
    </w:p>
    <w:p w:rsidR="001F3086" w:rsidRPr="00A81622" w:rsidRDefault="003108F6" w:rsidP="00A81622">
      <w:pPr>
        <w:rPr>
          <w:rFonts w:asciiTheme="majorHAnsi" w:eastAsia="MS Mincho" w:hAnsiTheme="majorHAnsi" w:cstheme="majorHAnsi"/>
          <w:b/>
          <w:bCs/>
          <w:sz w:val="28"/>
        </w:rPr>
      </w:pPr>
      <w:r>
        <w:rPr>
          <w:rFonts w:asciiTheme="majorHAnsi" w:hAnsiTheme="majorHAnsi" w:cstheme="majorHAnsi"/>
          <w:b/>
        </w:rPr>
        <w:t>Spokane, Washington, April 3-7 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7366E1">
        <w:rPr>
          <w:rFonts w:asciiTheme="majorHAnsi" w:eastAsia="MS Gothic" w:hAnsiTheme="majorHAnsi" w:cstheme="majorHAnsi"/>
          <w:noProof w:val="0"/>
          <w:sz w:val="24"/>
          <w:lang w:eastAsia="ja-JP"/>
        </w:rPr>
        <w:t>Transmit diversity</w:t>
      </w:r>
      <w:r w:rsidR="003268BA">
        <w:rPr>
          <w:rFonts w:asciiTheme="majorHAnsi" w:eastAsia="MS Gothic" w:hAnsiTheme="majorHAnsi" w:cstheme="majorHAnsi"/>
          <w:noProof w:val="0"/>
          <w:sz w:val="24"/>
          <w:lang w:eastAsia="ja-JP"/>
        </w:rPr>
        <w:t xml:space="preserve"> for </w:t>
      </w:r>
      <w:r w:rsidR="007366E1">
        <w:rPr>
          <w:rFonts w:asciiTheme="majorHAnsi" w:eastAsia="MS Gothic" w:hAnsiTheme="majorHAnsi" w:cstheme="majorHAnsi"/>
          <w:noProof w:val="0"/>
          <w:sz w:val="24"/>
          <w:lang w:eastAsia="ja-JP"/>
        </w:rPr>
        <w:t>PUCCH in long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30BCD">
        <w:rPr>
          <w:rFonts w:asciiTheme="majorHAnsi" w:eastAsia="MS Gothic" w:hAnsiTheme="majorHAnsi" w:cstheme="majorHAnsi"/>
          <w:noProof w:val="0"/>
          <w:sz w:val="24"/>
        </w:rPr>
        <w:t>8.1.</w:t>
      </w:r>
      <w:r w:rsidR="007366E1">
        <w:rPr>
          <w:rFonts w:asciiTheme="majorHAnsi" w:eastAsia="MS Gothic" w:hAnsiTheme="majorHAnsi" w:cstheme="majorHAnsi"/>
          <w:noProof w:val="0"/>
          <w:sz w:val="24"/>
        </w:rPr>
        <w:t>3.2.2</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30BCD" w:rsidRDefault="007366E1" w:rsidP="00A30BCD">
      <w:r>
        <w:t>A</w:t>
      </w:r>
      <w:r w:rsidR="00A30BCD">
        <w:t>t the RAN1 NR AH</w:t>
      </w:r>
      <w:r w:rsidR="00860C60">
        <w:t>#1</w:t>
      </w:r>
      <w:r w:rsidR="00A30BCD">
        <w:t xml:space="preserve"> meeting </w:t>
      </w:r>
      <w:r w:rsidR="00F3534C">
        <w:t>the following was decided</w:t>
      </w:r>
      <w:r w:rsidR="00705328">
        <w:t xml:space="preserve"> </w:t>
      </w:r>
      <w:r w:rsidR="00705328">
        <w:fldChar w:fldCharType="begin"/>
      </w:r>
      <w:r w:rsidR="00705328">
        <w:instrText xml:space="preserve"> REF _Ref477424004 \r \h </w:instrText>
      </w:r>
      <w:r w:rsidR="00705328">
        <w:fldChar w:fldCharType="separate"/>
      </w:r>
      <w:r w:rsidR="00705328">
        <w:t>[1]</w:t>
      </w:r>
      <w:r w:rsidR="00705328">
        <w:fldChar w:fldCharType="end"/>
      </w:r>
      <w:r>
        <w:t xml:space="preserve"> concerning the waveform and transmission scheme for long duration PUCCH</w:t>
      </w:r>
      <w:r w:rsidR="00F3534C">
        <w:t>:</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DFT-s-OFDM waveform is supported.</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transmit antenna diversity is supported.</w:t>
      </w:r>
    </w:p>
    <w:p w:rsidR="007366E1" w:rsidRDefault="007366E1" w:rsidP="00A30BCD"/>
    <w:p w:rsidR="007366E1" w:rsidRDefault="007366E1" w:rsidP="00A30BCD">
      <w:r>
        <w:t xml:space="preserve">Moreover, </w:t>
      </w:r>
      <w:r w:rsidR="00860C60">
        <w:t xml:space="preserve">at the latest RAN1#88 </w:t>
      </w:r>
      <w:r w:rsidR="00705328">
        <w:fldChar w:fldCharType="begin"/>
      </w:r>
      <w:r w:rsidR="00705328">
        <w:instrText xml:space="preserve"> REF _Ref477424013 \r \h </w:instrText>
      </w:r>
      <w:r w:rsidR="00705328">
        <w:fldChar w:fldCharType="separate"/>
      </w:r>
      <w:r w:rsidR="00705328">
        <w:t>[2]</w:t>
      </w:r>
      <w:r w:rsidR="00705328">
        <w:fldChar w:fldCharType="end"/>
      </w:r>
      <w:r w:rsidR="00705328">
        <w:t xml:space="preserve"> </w:t>
      </w:r>
      <w:r>
        <w:t>it was decided that:</w:t>
      </w:r>
    </w:p>
    <w:p w:rsidR="00860C60" w:rsidRPr="00860C60" w:rsidRDefault="00860C60" w:rsidP="00860C60">
      <w:pPr>
        <w:numPr>
          <w:ilvl w:val="0"/>
          <w:numId w:val="33"/>
        </w:numPr>
        <w:snapToGrid w:val="0"/>
        <w:spacing w:after="0"/>
        <w:jc w:val="left"/>
        <w:rPr>
          <w:rFonts w:eastAsia="MS Mincho"/>
          <w:i/>
        </w:rPr>
      </w:pPr>
      <w:r w:rsidRPr="00860C60">
        <w:rPr>
          <w:rFonts w:eastAsia="MS Mincho"/>
          <w:i/>
        </w:rPr>
        <w:t>For a given UCI payload, long-PUCCH is designed such that:</w:t>
      </w:r>
    </w:p>
    <w:p w:rsidR="00860C60" w:rsidRPr="00860C60" w:rsidRDefault="00860C60" w:rsidP="00860C60">
      <w:pPr>
        <w:numPr>
          <w:ilvl w:val="1"/>
          <w:numId w:val="33"/>
        </w:numPr>
        <w:snapToGrid w:val="0"/>
        <w:spacing w:after="0"/>
        <w:jc w:val="left"/>
        <w:rPr>
          <w:rFonts w:eastAsia="MS Mincho"/>
          <w:i/>
        </w:rPr>
      </w:pPr>
      <w:r w:rsidRPr="00860C60">
        <w:rPr>
          <w:rFonts w:eastAsia="MS Mincho"/>
          <w:i/>
        </w:rPr>
        <w:t>FFS: UE multiplexing capacity should be same/similar to LTE PUCCH</w:t>
      </w:r>
    </w:p>
    <w:p w:rsidR="00860C60" w:rsidRPr="00860C60" w:rsidRDefault="00860C60" w:rsidP="00860C60">
      <w:pPr>
        <w:numPr>
          <w:ilvl w:val="1"/>
          <w:numId w:val="33"/>
        </w:numPr>
        <w:snapToGrid w:val="0"/>
        <w:spacing w:after="0"/>
        <w:jc w:val="left"/>
        <w:rPr>
          <w:rFonts w:eastAsia="MS Mincho"/>
          <w:i/>
        </w:rPr>
      </w:pPr>
      <w:r w:rsidRPr="00860C60">
        <w:rPr>
          <w:rFonts w:eastAsia="MS Mincho"/>
          <w:i/>
        </w:rPr>
        <w:t>PAPR/CM should be same/similar to LTE PUCCH except for NR CP-OFDM case (if supported)</w:t>
      </w:r>
    </w:p>
    <w:p w:rsidR="00860C60" w:rsidRPr="00860C60" w:rsidRDefault="00860C60" w:rsidP="00860C60">
      <w:pPr>
        <w:numPr>
          <w:ilvl w:val="1"/>
          <w:numId w:val="33"/>
        </w:numPr>
        <w:snapToGrid w:val="0"/>
        <w:spacing w:after="0"/>
        <w:jc w:val="left"/>
        <w:rPr>
          <w:rFonts w:eastAsia="MS Mincho"/>
          <w:i/>
        </w:rPr>
      </w:pPr>
      <w:r w:rsidRPr="00860C60">
        <w:rPr>
          <w:rFonts w:eastAsia="MS Mincho"/>
          <w:i/>
        </w:rPr>
        <w:t>Frequency-diversity gain should be same/similar to LTE PUCCH</w:t>
      </w:r>
    </w:p>
    <w:p w:rsidR="00860C60" w:rsidRPr="00860C60" w:rsidRDefault="00860C60" w:rsidP="00860C60">
      <w:pPr>
        <w:numPr>
          <w:ilvl w:val="1"/>
          <w:numId w:val="33"/>
        </w:numPr>
        <w:snapToGrid w:val="0"/>
        <w:spacing w:after="0"/>
        <w:jc w:val="left"/>
        <w:rPr>
          <w:rFonts w:eastAsia="MS Mincho"/>
          <w:i/>
        </w:rPr>
      </w:pPr>
      <w:r w:rsidRPr="00860C60">
        <w:rPr>
          <w:rFonts w:eastAsia="MS Mincho"/>
          <w:i/>
        </w:rPr>
        <w:t>Interference randomization should be enabled</w:t>
      </w:r>
    </w:p>
    <w:p w:rsidR="00860C60" w:rsidRPr="00860C60" w:rsidRDefault="00860C60" w:rsidP="00860C60">
      <w:pPr>
        <w:numPr>
          <w:ilvl w:val="1"/>
          <w:numId w:val="33"/>
        </w:numPr>
        <w:snapToGrid w:val="0"/>
        <w:spacing w:after="0"/>
        <w:jc w:val="left"/>
        <w:rPr>
          <w:rFonts w:eastAsia="MS Mincho"/>
          <w:i/>
        </w:rPr>
      </w:pPr>
      <w:r w:rsidRPr="00860C60">
        <w:rPr>
          <w:rFonts w:eastAsia="MS Mincho"/>
          <w:i/>
        </w:rPr>
        <w:t>For more than 2 UCI bits, strive for scalable design with long-PUCCH with respect to the number of UCI bits</w:t>
      </w:r>
    </w:p>
    <w:p w:rsidR="00860C60" w:rsidRPr="00860C60" w:rsidRDefault="00860C60" w:rsidP="00860C60">
      <w:pPr>
        <w:numPr>
          <w:ilvl w:val="1"/>
          <w:numId w:val="33"/>
        </w:numPr>
        <w:snapToGrid w:val="0"/>
        <w:spacing w:after="0"/>
        <w:jc w:val="left"/>
        <w:rPr>
          <w:rFonts w:eastAsia="MS Mincho"/>
          <w:i/>
        </w:rPr>
      </w:pPr>
      <w:r w:rsidRPr="00860C60">
        <w:rPr>
          <w:rFonts w:eastAsia="MS Mincho"/>
          <w:i/>
        </w:rPr>
        <w:t>Strive for scalable design with long-PUCCH with respect to the number of symbols</w:t>
      </w:r>
    </w:p>
    <w:p w:rsidR="00F853C6" w:rsidRDefault="00F853C6" w:rsidP="00A30BCD">
      <w:pPr>
        <w:rPr>
          <w:rFonts w:eastAsia="MS Mincho"/>
          <w:iCs/>
          <w:szCs w:val="20"/>
        </w:rPr>
      </w:pP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we show how </w:t>
      </w:r>
      <w:r w:rsidR="007366E1">
        <w:rPr>
          <w:rFonts w:eastAsia="MS Mincho"/>
          <w:iCs/>
          <w:szCs w:val="20"/>
        </w:rPr>
        <w:t xml:space="preserve">Alamouti-based </w:t>
      </w:r>
      <w:r>
        <w:rPr>
          <w:rFonts w:eastAsia="MS Mincho"/>
          <w:iCs/>
          <w:szCs w:val="20"/>
        </w:rPr>
        <w:t>PAPR preserving transmit diversity can be achieved for DFTsOFDM</w:t>
      </w:r>
      <w:r w:rsidR="007366E1">
        <w:rPr>
          <w:rFonts w:eastAsia="MS Mincho"/>
          <w:iCs/>
          <w:szCs w:val="20"/>
        </w:rPr>
        <w:t xml:space="preserve"> without any restrictions for </w:t>
      </w:r>
      <w:r w:rsidR="00190654">
        <w:rPr>
          <w:rFonts w:eastAsia="MS Mincho"/>
          <w:iCs/>
          <w:szCs w:val="20"/>
        </w:rPr>
        <w:t>the number of symbols in the UL-</w:t>
      </w:r>
      <w:r w:rsidR="007366E1">
        <w:rPr>
          <w:rFonts w:eastAsia="MS Mincho"/>
          <w:iCs/>
          <w:szCs w:val="20"/>
        </w:rPr>
        <w:t>only/UL-centric slot</w:t>
      </w:r>
      <w:r>
        <w:rPr>
          <w:rFonts w:eastAsia="MS Mincho"/>
          <w:iCs/>
          <w:szCs w:val="20"/>
        </w:rPr>
        <w:t>.</w:t>
      </w:r>
    </w:p>
    <w:p w:rsidR="00A81622" w:rsidRDefault="00A81622" w:rsidP="00A81622">
      <w:pPr>
        <w:pBdr>
          <w:bottom w:val="single" w:sz="12" w:space="1" w:color="auto"/>
        </w:pBdr>
      </w:pPr>
    </w:p>
    <w:p w:rsidR="00EA0674" w:rsidRDefault="002B4B53" w:rsidP="00A81622">
      <w:pPr>
        <w:pStyle w:val="Titre1"/>
      </w:pPr>
      <w:r>
        <w:t>Transmit diversity for DFTsOFDM</w:t>
      </w:r>
      <w:r w:rsidR="007366E1">
        <w:t xml:space="preserve"> long duration PUCCH</w:t>
      </w:r>
    </w:p>
    <w:p w:rsidR="006F4B22" w:rsidRDefault="006F4B22" w:rsidP="00A81622">
      <w:r>
        <w:t>PUCCH coverage is a bottleneck for system deployments</w:t>
      </w:r>
      <w:r w:rsidR="009E5DD7">
        <w:t>.</w:t>
      </w:r>
      <w:r w:rsidR="009E5DD7" w:rsidRPr="009E5DD7">
        <w:t xml:space="preserve"> </w:t>
      </w:r>
      <w:r w:rsidR="009E5DD7">
        <w:t>In NR</w:t>
      </w:r>
      <w:r w:rsidR="008B0C51">
        <w:t>,</w:t>
      </w:r>
      <w:r w:rsidR="009E5DD7">
        <w:t xml:space="preserve"> UL control will carry higher payloads than in LTE</w:t>
      </w:r>
      <w:r w:rsidR="008B0C51">
        <w:t>, but at least the same coverage is desirable to be achieved</w:t>
      </w:r>
      <w:r w:rsidR="009E5DD7">
        <w:t>.</w:t>
      </w:r>
      <w:r>
        <w:t xml:space="preserve"> </w:t>
      </w:r>
      <w:r w:rsidR="008B0C51">
        <w:t>DFTsOFDM and transmit diversity support were decided for long PUCCH transmission at the last meeting, since l</w:t>
      </w:r>
      <w:r>
        <w:t xml:space="preserve">ow PAPR waveform and robust transmission are crucial for </w:t>
      </w:r>
      <w:r w:rsidR="008B0C51">
        <w:t xml:space="preserve">long </w:t>
      </w:r>
      <w:r w:rsidR="009E5DD7">
        <w:t>PUCCH transmission.</w:t>
      </w:r>
    </w:p>
    <w:p w:rsidR="006F4B22" w:rsidRDefault="008B0C51" w:rsidP="00A81622">
      <w:r>
        <w:t>Concerning the transmit diversity scheme f</w:t>
      </w:r>
      <w:r w:rsidR="009E5DD7">
        <w:t xml:space="preserve">or DFTsOFDM long PUCCH, </w:t>
      </w:r>
      <w:r>
        <w:t>several design constraints need to be met. T</w:t>
      </w:r>
      <w:r w:rsidR="009E5DD7">
        <w:t>ransmit diversity should conserve the low PAPR characteristics. The length (in DFTsOFDM symbols) of the long PUCCH is variable</w:t>
      </w:r>
      <w:r w:rsidR="00B63BDD">
        <w:t>:</w:t>
      </w:r>
      <w:r w:rsidR="009E5DD7">
        <w:t xml:space="preserve"> </w:t>
      </w:r>
      <w:r w:rsidR="00B63BDD">
        <w:t>7 or 14 symbols for UL</w:t>
      </w:r>
      <w:r w:rsidR="00886D65">
        <w:t>-</w:t>
      </w:r>
      <w:r w:rsidR="00B63BDD">
        <w:t xml:space="preserve">only slots, 4/5 or </w:t>
      </w:r>
      <w:r w:rsidR="004C3FE9">
        <w:t xml:space="preserve">up to </w:t>
      </w:r>
      <w:r w:rsidR="00B63BDD">
        <w:t>11/1</w:t>
      </w:r>
      <w:r w:rsidR="00886D65">
        <w:t>2 symbols for UL-centric slots (</w:t>
      </w:r>
      <w:r w:rsidR="00B63BDD">
        <w:t>accounting for 1-2 DL control symbols and 1 gap symbol</w:t>
      </w:r>
      <w:r w:rsidR="00886D65">
        <w:t>)</w:t>
      </w:r>
      <w:r w:rsidR="00B63BDD">
        <w:t xml:space="preserve">. Therefore, the transmit diversity scheme should remain contained within one DFTsOFDM symbol and not impose parity constraints on the slot length. Also, due to the higher </w:t>
      </w:r>
      <w:r w:rsidR="008555DE">
        <w:t xml:space="preserve">maximum </w:t>
      </w:r>
      <w:r w:rsidR="00B63BDD">
        <w:t xml:space="preserve">number of bits to be carried by the </w:t>
      </w:r>
      <w:r w:rsidR="008555DE">
        <w:t xml:space="preserve">NR </w:t>
      </w:r>
      <w:r w:rsidR="00B63BDD">
        <w:t xml:space="preserve">PUCCH format with respect to LTE, schemes requiring complex decoding </w:t>
      </w:r>
      <w:r w:rsidR="008555DE">
        <w:t xml:space="preserve">(e.g. ML) </w:t>
      </w:r>
      <w:r w:rsidR="00B63BDD">
        <w:t xml:space="preserve">should be avoided. </w:t>
      </w:r>
    </w:p>
    <w:p w:rsidR="004A36D8" w:rsidRDefault="00501E73" w:rsidP="00A81622">
      <w:r>
        <w:t>We will further investigate</w:t>
      </w:r>
      <w:r w:rsidR="00965FE1">
        <w:t xml:space="preserve"> how </w:t>
      </w:r>
      <w:r w:rsidR="007829B8">
        <w:t xml:space="preserve">several </w:t>
      </w:r>
      <w:r w:rsidR="00965FE1">
        <w:t>known transmit diversity techniques apply to DFTsOFDM</w:t>
      </w:r>
      <w:r w:rsidR="007829B8">
        <w:t xml:space="preserve"> for long PUCCH format</w:t>
      </w:r>
      <w:r w:rsidR="00965FE1">
        <w:t>.</w:t>
      </w:r>
    </w:p>
    <w:p w:rsidR="008555DE" w:rsidRDefault="008555DE" w:rsidP="00A81622"/>
    <w:p w:rsidR="008555DE" w:rsidRDefault="008555DE" w:rsidP="008555DE">
      <w:pPr>
        <w:pStyle w:val="Titre2"/>
      </w:pPr>
      <w:r>
        <w:lastRenderedPageBreak/>
        <w:t>Alamouti-based transmit diversity for long PUCCH</w:t>
      </w:r>
    </w:p>
    <w:p w:rsidR="008555DE" w:rsidRDefault="007829B8" w:rsidP="00B961B4">
      <w:r>
        <w:t>Alamouti-based schemes achieve</w:t>
      </w:r>
      <w:r w:rsidR="00B961B4">
        <w:t xml:space="preserve"> full diversity and </w:t>
      </w:r>
      <w:r w:rsidR="008555DE">
        <w:t xml:space="preserve">are known to </w:t>
      </w:r>
      <w:r>
        <w:t xml:space="preserve">yield </w:t>
      </w:r>
      <w:r w:rsidR="008555DE">
        <w:t>good results in combination with OFDM-based waveforms. STBC and SFBC schemes are classically implemented at subcarrier level in multicarrier systems. Nevertheless, directly applying the classical schemes has some drawbacks for long duration PUCCH with DFTsOFDM waveform:</w:t>
      </w:r>
    </w:p>
    <w:p w:rsidR="008555DE" w:rsidRDefault="008555DE" w:rsidP="008555DE">
      <w:pPr>
        <w:pStyle w:val="Paragraphedeliste"/>
        <w:numPr>
          <w:ilvl w:val="0"/>
          <w:numId w:val="32"/>
        </w:numPr>
        <w:ind w:leftChars="0"/>
      </w:pPr>
      <w:r>
        <w:t>Applying classical STBC between successive DFTsOFDM symbols requires having an even number of symbols per slot, which is no</w:t>
      </w:r>
      <w:r w:rsidR="00886D65">
        <w:t>t</w:t>
      </w:r>
      <w:r>
        <w:t xml:space="preserve"> the case </w:t>
      </w:r>
      <w:r w:rsidR="00886D65">
        <w:t xml:space="preserve">in practice </w:t>
      </w:r>
      <w:r>
        <w:t>as we have shown in the previous subsection</w:t>
      </w:r>
    </w:p>
    <w:p w:rsidR="008555DE" w:rsidRDefault="008555DE" w:rsidP="008555DE">
      <w:pPr>
        <w:pStyle w:val="Paragraphedeliste"/>
        <w:numPr>
          <w:ilvl w:val="0"/>
          <w:numId w:val="32"/>
        </w:numPr>
        <w:ind w:leftChars="0"/>
      </w:pPr>
      <w:r>
        <w:t>Applying classical SFBC between adjacent subcarriers within a DFTsOFDM symbol breaks the low PAPR characteristics of DFTsOFDM.</w:t>
      </w:r>
    </w:p>
    <w:p w:rsidR="008555DE" w:rsidRDefault="008555DE" w:rsidP="00B961B4">
      <w:r>
        <w:t xml:space="preserve">Modified Alamouti-based schemes overcoming these shortcomings exist. </w:t>
      </w:r>
    </w:p>
    <w:p w:rsidR="00ED0484" w:rsidRDefault="00ED0484" w:rsidP="00B961B4">
      <w:r>
        <w:t>STBC can be applied in two manners: pre-DFT or post-DFT. For post-DFT STBC schemes, doubling the orphan symbol (for example by using a double subcarrier spacing onto this symbol) solves the restriction of having an even number of symbols in the slot. Nevertheless, this results in either inter-numerology interference affecting the users scheduled in adjacent frequency bands, or in scheduling constraints imposing the same numerology settings to all users scheduled in adjacent frequency bands.</w:t>
      </w:r>
    </w:p>
    <w:p w:rsidR="00295E44" w:rsidRDefault="00ED0484" w:rsidP="00B961B4">
      <w:r>
        <w:t xml:space="preserve">Pre-DFT STBC can operate on either successive or non-successive pre-DFT modulation symbols. </w:t>
      </w:r>
      <w:r w:rsidR="008555DE">
        <w:t xml:space="preserve">Modified STBC schemes applying STBC precoding before DFT between successive modulation </w:t>
      </w:r>
      <w:r w:rsidR="001B2C08">
        <w:t>(</w:t>
      </w:r>
      <w:r w:rsidR="008555DE">
        <w:t>e.g. QPSK) symbols were already investigated</w:t>
      </w:r>
      <w:r w:rsidR="00AD08EA">
        <w:t xml:space="preserve"> </w:t>
      </w:r>
      <w:r w:rsidR="00AD08EA">
        <w:fldChar w:fldCharType="begin"/>
      </w:r>
      <w:r w:rsidR="00AD08EA">
        <w:instrText xml:space="preserve"> REF _Ref473758040 \r \h </w:instrText>
      </w:r>
      <w:r w:rsidR="00AD08EA">
        <w:fldChar w:fldCharType="separate"/>
      </w:r>
      <w:r w:rsidR="00705328">
        <w:t>[3]</w:t>
      </w:r>
      <w:r w:rsidR="00AD08EA">
        <w:fldChar w:fldCharType="end"/>
      </w:r>
      <w:r w:rsidR="008555DE">
        <w:t>. Since precoding is not applied at subcarrier level, low-complexity frequency-domain decoding (e.g. MMSE involving order-2 matrix inversions at the receiver side) is not possible</w:t>
      </w:r>
      <w:r w:rsidR="00AD08EA">
        <w:t xml:space="preserve">. </w:t>
      </w:r>
      <w:r w:rsidR="00954FA7">
        <w:t>Moreover, for pre-DFT Alamouti precoding, s</w:t>
      </w:r>
      <w:r w:rsidR="00954FA7" w:rsidRPr="00954FA7">
        <w:t>ome performance degradation may appear due to channel selectivity: for each transmit antenna, there may be a different interference level for the first symbol and the second symbol of a pair.</w:t>
      </w:r>
      <w:r w:rsidR="006E469E" w:rsidRPr="006E469E">
        <w:t xml:space="preserve"> </w:t>
      </w:r>
    </w:p>
    <w:p w:rsidR="00ED0484" w:rsidRDefault="00ED0484" w:rsidP="00B961B4">
      <w:r>
        <w:t>Pre-DFT STBC can operate on between a first and a second pre-DFT symbol block half</w:t>
      </w:r>
      <w:r w:rsidR="007C2F47">
        <w:t xml:space="preserve"> </w:t>
      </w:r>
      <w:r w:rsidR="007C2F47">
        <w:fldChar w:fldCharType="begin"/>
      </w:r>
      <w:r w:rsidR="007C2F47">
        <w:instrText xml:space="preserve"> REF _Ref477358745 \r \h </w:instrText>
      </w:r>
      <w:r w:rsidR="007C2F47">
        <w:fldChar w:fldCharType="separate"/>
      </w:r>
      <w:r w:rsidR="007C2F47">
        <w:t>[6]</w:t>
      </w:r>
      <w:r w:rsidR="007C2F47">
        <w:fldChar w:fldCharType="end"/>
      </w:r>
      <w:r>
        <w:t xml:space="preserve">. </w:t>
      </w:r>
      <w:r w:rsidR="007C2F47">
        <w:t>This allows frequency domain decoding with a higher decoding complexity wrt SFBC or classical STBC. This scheme can achieve the same performance as STBC/SFBC if a cyclic prefix/postfix is inserted before each symbol block half to limit the mutual interference (multipath, intercarrier) between the two halves.</w:t>
      </w:r>
    </w:p>
    <w:p w:rsidR="00B961B4" w:rsidRDefault="00AD08EA" w:rsidP="00B961B4">
      <w:r>
        <w:t xml:space="preserve">Modified SFBC preserving the low PAPR </w:t>
      </w:r>
      <w:r>
        <w:fldChar w:fldCharType="begin"/>
      </w:r>
      <w:r>
        <w:instrText xml:space="preserve"> REF _Ref473758531 \r \h </w:instrText>
      </w:r>
      <w:r>
        <w:fldChar w:fldCharType="separate"/>
      </w:r>
      <w:r w:rsidR="00705328">
        <w:t>[4]</w:t>
      </w:r>
      <w:r>
        <w:fldChar w:fldCharType="end"/>
      </w:r>
      <w:r w:rsidR="006E469E">
        <w:t xml:space="preserve"> </w:t>
      </w:r>
      <w:r>
        <w:t xml:space="preserve">will be further detailed in the following. More detailed analysis can be found in </w:t>
      </w:r>
      <w:r>
        <w:fldChar w:fldCharType="begin"/>
      </w:r>
      <w:r>
        <w:instrText xml:space="preserve"> REF _Ref473758543 \r \h </w:instrText>
      </w:r>
      <w:r>
        <w:fldChar w:fldCharType="separate"/>
      </w:r>
      <w:r w:rsidR="00295E44">
        <w:t>[5]</w:t>
      </w:r>
      <w:r>
        <w:fldChar w:fldCharType="end"/>
      </w:r>
      <w:r>
        <w:t>.</w:t>
      </w:r>
    </w:p>
    <w:p w:rsidR="00965FE1" w:rsidRDefault="00965FE1" w:rsidP="00A81622"/>
    <w:p w:rsidR="00965FE1" w:rsidRDefault="00965FE1" w:rsidP="008555DE">
      <w:pPr>
        <w:pStyle w:val="Titre3"/>
      </w:pPr>
      <w:r>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PAPR-preserving SFBC has already been discussed in the literature</w:t>
      </w:r>
      <w:r w:rsidR="0086625B">
        <w:t xml:space="preserve"> </w:t>
      </w:r>
      <w:r w:rsidR="0086625B">
        <w:fldChar w:fldCharType="begin"/>
      </w:r>
      <w:r w:rsidR="0086625B">
        <w:instrText xml:space="preserve"> REF _Ref473758531 \r \h </w:instrText>
      </w:r>
      <w:r w:rsidR="0086625B">
        <w:fldChar w:fldCharType="separate"/>
      </w:r>
      <w:r w:rsidR="0086625B">
        <w:t>[4]</w:t>
      </w:r>
      <w:r w:rsidR="0086625B">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705328">
        <w:t xml:space="preserve">Figure </w:t>
      </w:r>
      <w:r w:rsidR="00705328">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705328">
        <w:t xml:space="preserve">Figure </w:t>
      </w:r>
      <w:r w:rsidR="00705328">
        <w:rPr>
          <w:noProof/>
        </w:rPr>
        <w:t>2</w:t>
      </w:r>
      <w:r w:rsidR="0041189B">
        <w:fldChar w:fldCharType="end"/>
      </w:r>
      <w:r w:rsidR="0041189B">
        <w:t xml:space="preserve"> </w:t>
      </w:r>
      <w:r w:rsidR="00AD08EA">
        <w:t>depicts the subcarrier pairing:</w:t>
      </w:r>
      <w:r w:rsidR="0041189B">
        <w:t xml:space="preserv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pt" o:ole="">
            <v:imagedata r:id="rId8" o:title=""/>
          </v:shape>
          <o:OLEObject Type="Embed" ProgID="Equation.DSMT4" ShapeID="_x0000_i1025" DrawAspect="Content" ObjectID="_1551711056" r:id="rId9"/>
        </w:object>
      </w:r>
      <w:r w:rsidR="0041189B">
        <w:t xml:space="preserve">and </w:t>
      </w:r>
      <w:r w:rsidR="0041189B" w:rsidRPr="0041189B">
        <w:rPr>
          <w:position w:val="-14"/>
        </w:rPr>
        <w:object w:dxaOrig="2280" w:dyaOrig="400">
          <v:shape id="_x0000_i1026" type="#_x0000_t75" style="width:114pt;height:20.5pt" o:ole="">
            <v:imagedata r:id="rId10" o:title=""/>
          </v:shape>
          <o:OLEObject Type="Embed" ProgID="Equation.DSMT4" ShapeID="_x0000_i1026" DrawAspect="Content" ObjectID="_1551711057"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/2 to minimize the distance between subcarriers carrying Alamouti precoded pairs. This PAPR-preserving SFBC is called SC-SFBC</w:t>
      </w:r>
      <w:r w:rsidR="0086625B">
        <w:t xml:space="preserve"> </w:t>
      </w:r>
      <w:r w:rsidR="0086625B">
        <w:fldChar w:fldCharType="begin"/>
      </w:r>
      <w:r w:rsidR="0086625B">
        <w:instrText xml:space="preserve"> REF _Ref473758531 \r \h </w:instrText>
      </w:r>
      <w:r w:rsidR="0086625B">
        <w:fldChar w:fldCharType="separate"/>
      </w:r>
      <w:r w:rsidR="0086625B">
        <w:t>[4]</w:t>
      </w:r>
      <w:r w:rsidR="0086625B">
        <w:fldChar w:fldCharType="end"/>
      </w:r>
      <w:r w:rsidR="0041189B">
        <w:t>.</w:t>
      </w:r>
    </w:p>
    <w:p w:rsidR="0041189B" w:rsidRDefault="0041189B" w:rsidP="0041189B">
      <w:r>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7pt;height:20.5pt" o:ole="">
            <v:imagedata r:id="rId12" o:title=""/>
          </v:shape>
          <o:OLEObject Type="Embed" ProgID="Equation.DSMT4" ShapeID="_x0000_i1027" DrawAspect="Content" ObjectID="_1551711058" r:id="rId13"/>
        </w:object>
      </w:r>
    </w:p>
    <w:p w:rsidR="0041189B" w:rsidRDefault="00886D65" w:rsidP="00965FE1">
      <w:r>
        <w:rPr>
          <w:noProof/>
          <w:lang w:val="fr-FR" w:eastAsia="fr-FR"/>
        </w:rPr>
        <w:lastRenderedPageBreak/>
        <w:drawing>
          <wp:inline distT="0" distB="0" distL="0" distR="0">
            <wp:extent cx="6332220" cy="804164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07bis_SC-SFBC mapping.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8041640"/>
                    </a:xfrm>
                    <a:prstGeom prst="rect">
                      <a:avLst/>
                    </a:prstGeom>
                  </pic:spPr>
                </pic:pic>
              </a:graphicData>
            </a:graphic>
          </wp:inline>
        </w:drawing>
      </w:r>
    </w:p>
    <w:p w:rsidR="00E74F8A" w:rsidRDefault="00970589" w:rsidP="0041189B">
      <w:pPr>
        <w:keepNext/>
        <w:jc w:val="center"/>
      </w:pP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40D1F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p>
    <w:p w:rsidR="00E74F8A" w:rsidRDefault="00E74F8A" w:rsidP="00E74F8A">
      <w:pPr>
        <w:pStyle w:val="Lgende"/>
      </w:pPr>
      <w:bookmarkStart w:id="0" w:name="_Ref468985453"/>
      <w:r>
        <w:t xml:space="preserve">Figure </w:t>
      </w:r>
      <w:fldSimple w:instr=" SEQ Figure \* ARABIC ">
        <w:r w:rsidR="00705328">
          <w:rPr>
            <w:noProof/>
          </w:rPr>
          <w:t>1</w:t>
        </w:r>
      </w:fldSimple>
      <w:bookmarkEnd w:id="0"/>
      <w:r>
        <w:t xml:space="preserve"> </w:t>
      </w:r>
      <w:r w:rsidR="00AD08EA">
        <w:t>–</w:t>
      </w:r>
      <w:r w:rsidR="00E13757">
        <w:t xml:space="preserve"> </w:t>
      </w:r>
      <w:r w:rsidR="00AD08EA">
        <w:t xml:space="preserve">PAPR preserving </w:t>
      </w:r>
      <w:r>
        <w:t xml:space="preserve">SFBC for DFTsOFDM </w:t>
      </w:r>
      <w:r w:rsidR="00AD08EA">
        <w:t>long PUCCH</w:t>
      </w:r>
    </w:p>
    <w:p w:rsidR="00E74F8A" w:rsidRDefault="00E74F8A" w:rsidP="00965FE1"/>
    <w:p w:rsidR="00886D65" w:rsidRDefault="00886D65" w:rsidP="00965FE1"/>
    <w:p w:rsidR="008C5DF3" w:rsidRDefault="008C5DF3" w:rsidP="008C5DF3">
      <w:r>
        <w:lastRenderedPageBreak/>
        <w:t xml:space="preserve">Where vector </w:t>
      </w:r>
      <w:r w:rsidRPr="00513046">
        <w:rPr>
          <w:position w:val="-12"/>
        </w:rPr>
        <w:object w:dxaOrig="1300" w:dyaOrig="360">
          <v:shape id="_x0000_i1028" type="#_x0000_t75" style="width:65.5pt;height:19pt" o:ole="">
            <v:imagedata r:id="rId15" o:title=""/>
          </v:shape>
          <o:OLEObject Type="Embed" ProgID="Equation.DSMT4" ShapeID="_x0000_i1028" DrawAspect="Content" ObjectID="_1551711059" r:id="rId16"/>
        </w:object>
      </w:r>
      <w:r>
        <w:t xml:space="preserve"> represents a block of DFT precoded modulation symbols </w:t>
      </w:r>
      <w:r w:rsidRPr="00513046">
        <w:rPr>
          <w:b/>
        </w:rPr>
        <w:t>x</w:t>
      </w:r>
      <w:r>
        <w:t xml:space="preserve"> which will be mapped as is onto the first antenna port. This is a DFTsOFDM signal. Since complex conjugation, time reversing, cyclic shifting and sign alternation applied in the frequency domain are PAPR preserving operations with respect to the time-domain signal, the resulting signal transmitted on the second antenna port has the same PAPR as the original signal. Indeed, as further explained in </w:t>
      </w:r>
      <w:r>
        <w:fldChar w:fldCharType="begin"/>
      </w:r>
      <w:r>
        <w:instrText xml:space="preserve"> REF _Ref473758543 \r \h </w:instrText>
      </w:r>
      <w:r>
        <w:fldChar w:fldCharType="separate"/>
      </w:r>
      <w:r>
        <w:t>[5]</w:t>
      </w:r>
      <w:r>
        <w:fldChar w:fldCharType="end"/>
      </w:r>
      <w:r>
        <w:t xml:space="preserve">, this is equivalent to sending on the second antenna a DFTsOFDM signal corresponding to an equivalent constellation </w:t>
      </w:r>
      <w:r w:rsidRPr="00513046">
        <w:rPr>
          <w:position w:val="-10"/>
        </w:rPr>
        <w:object w:dxaOrig="660" w:dyaOrig="320">
          <v:shape id="_x0000_i1029" type="#_x0000_t75" style="width:33pt;height:16.5pt" o:ole="">
            <v:imagedata r:id="rId17" o:title=""/>
          </v:shape>
          <o:OLEObject Type="Embed" ProgID="Equation.DSMT4" ShapeID="_x0000_i1029" DrawAspect="Content" ObjectID="_1551711060" r:id="rId18"/>
        </w:object>
      </w:r>
      <w:r>
        <w:t>:</w:t>
      </w:r>
    </w:p>
    <w:p w:rsidR="008C5DF3" w:rsidRDefault="008C5DF3" w:rsidP="008C5DF3">
      <w:pPr>
        <w:pStyle w:val="MTDisplayEquation"/>
      </w:pPr>
      <w:r>
        <w:tab/>
      </w:r>
      <w:r w:rsidRPr="00513046">
        <w:rPr>
          <w:position w:val="-16"/>
        </w:rPr>
        <w:object w:dxaOrig="4400" w:dyaOrig="520">
          <v:shape id="_x0000_i1030" type="#_x0000_t75" style="width:220pt;height:26.5pt" o:ole="">
            <v:imagedata r:id="rId19" o:title=""/>
          </v:shape>
          <o:OLEObject Type="Embed" ProgID="Equation.DSMT4" ShapeID="_x0000_i1030" DrawAspect="Content" ObjectID="_1551711061" r:id="rId20"/>
        </w:object>
      </w:r>
      <w:r>
        <w:t>.</w:t>
      </w:r>
    </w:p>
    <w:p w:rsidR="008C5DF3" w:rsidRDefault="008C5DF3" w:rsidP="008C5DF3">
      <w:r>
        <w:t>It is obvious that complex conjugation, cyclic shift or phase ramp applied in the time domain conserve the peak to average ratio of the input constellation and that the signal on the 2</w:t>
      </w:r>
      <w:r w:rsidRPr="001927A9">
        <w:rPr>
          <w:vertAlign w:val="superscript"/>
        </w:rPr>
        <w:t>nd</w:t>
      </w:r>
      <w:r>
        <w:t xml:space="preserve"> transmit antenna is a DFTsOFDM signal with the same PAPR as the one on the 1</w:t>
      </w:r>
      <w:r w:rsidRPr="001927A9">
        <w:rPr>
          <w:vertAlign w:val="superscript"/>
        </w:rPr>
        <w:t>st</w:t>
      </w:r>
      <w:r>
        <w:t xml:space="preserve"> transmit antenna. This is verified in </w:t>
      </w:r>
      <w:r>
        <w:fldChar w:fldCharType="begin"/>
      </w:r>
      <w:r>
        <w:instrText xml:space="preserve"> REF _Ref468986459 \h </w:instrText>
      </w:r>
      <w:r>
        <w:fldChar w:fldCharType="separate"/>
      </w:r>
      <w:r>
        <w:t xml:space="preserve">Figure </w:t>
      </w:r>
      <w:r>
        <w:rPr>
          <w:noProof/>
        </w:rPr>
        <w:t>3</w:t>
      </w:r>
      <w:r>
        <w:fldChar w:fldCharType="end"/>
      </w:r>
      <w:r>
        <w:t xml:space="preserve"> where the CCDF of the instantaneous normalized power is plotted for DFTsOFDM with STBC, SFBC and the PAPR preserving SC-SFBC.</w:t>
      </w:r>
    </w:p>
    <w:p w:rsidR="008C5DF3" w:rsidRDefault="008C5DF3" w:rsidP="008C5DF3">
      <w:r>
        <w:t xml:space="preserve">Therefore, </w:t>
      </w:r>
      <w:r w:rsidRPr="00117541">
        <w:rPr>
          <w:i/>
        </w:rPr>
        <w:t>PAPR preserving SFBC shows the following characteristics:</w:t>
      </w:r>
    </w:p>
    <w:p w:rsidR="008C5DF3" w:rsidRPr="00117541" w:rsidRDefault="008C5DF3" w:rsidP="008C5DF3">
      <w:pPr>
        <w:pStyle w:val="Paragraphedeliste"/>
        <w:numPr>
          <w:ilvl w:val="0"/>
          <w:numId w:val="32"/>
        </w:numPr>
        <w:ind w:leftChars="0"/>
        <w:rPr>
          <w:i/>
        </w:rPr>
      </w:pPr>
      <w:r w:rsidRPr="00117541">
        <w:rPr>
          <w:i/>
        </w:rPr>
        <w:t>Full-diversity achieving</w:t>
      </w:r>
    </w:p>
    <w:p w:rsidR="008C5DF3" w:rsidRPr="00117541" w:rsidRDefault="008C5DF3" w:rsidP="008C5DF3">
      <w:pPr>
        <w:pStyle w:val="Paragraphedeliste"/>
        <w:numPr>
          <w:ilvl w:val="0"/>
          <w:numId w:val="32"/>
        </w:numPr>
        <w:ind w:leftChars="0"/>
        <w:rPr>
          <w:i/>
        </w:rPr>
      </w:pPr>
      <w:r w:rsidRPr="00117541">
        <w:rPr>
          <w:i/>
        </w:rPr>
        <w:t>Applicable to any number of symbols per slot</w:t>
      </w:r>
    </w:p>
    <w:p w:rsidR="008C5DF3" w:rsidRPr="00117541" w:rsidRDefault="008C5DF3" w:rsidP="008C5DF3">
      <w:pPr>
        <w:pStyle w:val="Paragraphedeliste"/>
        <w:numPr>
          <w:ilvl w:val="0"/>
          <w:numId w:val="32"/>
        </w:numPr>
        <w:ind w:leftChars="0"/>
        <w:rPr>
          <w:i/>
        </w:rPr>
      </w:pPr>
      <w:r w:rsidRPr="00117541">
        <w:rPr>
          <w:i/>
        </w:rPr>
        <w:t>PAPR conserving</w:t>
      </w:r>
    </w:p>
    <w:p w:rsidR="008C5DF3" w:rsidRPr="00965FE1" w:rsidRDefault="008C5DF3" w:rsidP="00CF1899">
      <w:pPr>
        <w:pStyle w:val="Paragraphedeliste"/>
        <w:numPr>
          <w:ilvl w:val="0"/>
          <w:numId w:val="32"/>
        </w:numPr>
        <w:ind w:leftChars="0"/>
      </w:pPr>
      <w:r w:rsidRPr="008C5DF3">
        <w:rPr>
          <w:i/>
        </w:rPr>
        <w:t>Low-complexity frequency-domain MMSE detection based on order-2 matrix inversions</w:t>
      </w:r>
      <w:r>
        <w:t xml:space="preserve">. </w:t>
      </w:r>
    </w:p>
    <w:p w:rsidR="00E74F8A" w:rsidRDefault="00E74F8A" w:rsidP="0041189B">
      <w:pPr>
        <w:jc w:val="center"/>
      </w:pPr>
      <w:r>
        <w:rPr>
          <w:noProof/>
          <w:lang w:val="fr-FR" w:eastAsia="fr-FR"/>
        </w:rPr>
        <w:drawing>
          <wp:inline distT="0" distB="0" distL="0" distR="0" wp14:anchorId="67964B8F" wp14:editId="0BDD891D">
            <wp:extent cx="5015311" cy="1397550"/>
            <wp:effectExtent l="19050" t="0" r="0" b="0"/>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5015311" cy="1397550"/>
                    </a:xfrm>
                    <a:prstGeom prst="rect">
                      <a:avLst/>
                    </a:prstGeom>
                  </pic:spPr>
                </pic:pic>
              </a:graphicData>
            </a:graphic>
          </wp:inline>
        </w:drawing>
      </w:r>
    </w:p>
    <w:p w:rsidR="00A81622" w:rsidRDefault="00E74F8A" w:rsidP="00E74F8A">
      <w:pPr>
        <w:pStyle w:val="Lgende"/>
      </w:pPr>
      <w:bookmarkStart w:id="1" w:name="_Ref468985465"/>
      <w:r>
        <w:t xml:space="preserve">Figure </w:t>
      </w:r>
      <w:fldSimple w:instr=" SEQ Figure \* ARABIC ">
        <w:r w:rsidR="00705328">
          <w:rPr>
            <w:noProof/>
          </w:rPr>
          <w:t>2</w:t>
        </w:r>
      </w:fldSimple>
      <w:bookmarkEnd w:id="1"/>
      <w:r w:rsidR="00E13757">
        <w:t xml:space="preserve"> - </w:t>
      </w:r>
      <w:r w:rsidR="00501E73">
        <w:t xml:space="preserve">Mapping of Alamouti pairs </w:t>
      </w:r>
      <w:r>
        <w:t>to subcarriers for PAPR preserving SFBC in DFTsOFDM</w:t>
      </w:r>
    </w:p>
    <w:p w:rsidR="0049738E" w:rsidRDefault="0049738E"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2" w:name="_Ref468986459"/>
      <w:r>
        <w:t xml:space="preserve">Figure </w:t>
      </w:r>
      <w:fldSimple w:instr=" SEQ Figure \* ARABIC ">
        <w:r w:rsidR="00705328">
          <w:rPr>
            <w:noProof/>
          </w:rPr>
          <w:t>3</w:t>
        </w:r>
      </w:fldSimple>
      <w:bookmarkEnd w:id="2"/>
      <w:r w:rsidR="00E13757">
        <w:t xml:space="preserve"> - </w:t>
      </w:r>
      <w:r>
        <w:t>PAPR of PAPR-preserving SFBC in DFTsOFDM</w:t>
      </w:r>
    </w:p>
    <w:p w:rsidR="002E4AD1" w:rsidRPr="002E4AD1" w:rsidRDefault="002E4AD1" w:rsidP="002E4AD1"/>
    <w:p w:rsidR="00E74F8A" w:rsidRDefault="0041189B" w:rsidP="0041189B">
      <w:pPr>
        <w:pStyle w:val="Titre2"/>
      </w:pPr>
      <w:r>
        <w:t>Other open loop transmit diversity schemes in DFTsOFDM</w:t>
      </w:r>
    </w:p>
    <w:p w:rsidR="00E13757" w:rsidRDefault="00E13757" w:rsidP="00E13757">
      <w:pPr>
        <w:keepNext/>
        <w:jc w:val="center"/>
      </w:pPr>
      <w:r>
        <w:rPr>
          <w:noProof/>
          <w:lang w:val="fr-FR" w:eastAsia="fr-FR"/>
        </w:rPr>
        <mc:AlternateContent>
          <mc:Choice Requires="wps">
            <w:drawing>
              <wp:anchor distT="0" distB="0" distL="114300" distR="114300" simplePos="0" relativeHeight="251666432" behindDoc="0" locked="0" layoutInCell="1" allowOverlap="1" wp14:anchorId="0E0793E5" wp14:editId="53C16466">
                <wp:simplePos x="0" y="0"/>
                <wp:positionH relativeFrom="column">
                  <wp:posOffset>525145</wp:posOffset>
                </wp:positionH>
                <wp:positionV relativeFrom="paragraph">
                  <wp:posOffset>1201420</wp:posOffset>
                </wp:positionV>
                <wp:extent cx="263347" cy="256032"/>
                <wp:effectExtent l="0" t="0" r="22860" b="10795"/>
                <wp:wrapNone/>
                <wp:docPr id="14" name="Rectangle 14"/>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D754E" id="Rectangle 14" o:spid="_x0000_s1026" style="position:absolute;margin-left:41.35pt;margin-top:94.6pt;width:20.75pt;height:20.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VGkQ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" fillcolor="white [3212]" strokecolor="white [3212]" strokeweight="2pt"/>
            </w:pict>
          </mc:Fallback>
        </mc:AlternateContent>
      </w:r>
      <w:r>
        <w:rPr>
          <w:noProof/>
          <w:lang w:val="fr-FR" w:eastAsia="fr-FR"/>
        </w:rPr>
        <mc:AlternateContent>
          <mc:Choice Requires="wps">
            <w:drawing>
              <wp:anchor distT="0" distB="0" distL="114300" distR="114300" simplePos="0" relativeHeight="251664384" behindDoc="0" locked="0" layoutInCell="1" allowOverlap="1" wp14:anchorId="1902AE59" wp14:editId="16E745BB">
                <wp:simplePos x="0" y="0"/>
                <wp:positionH relativeFrom="column">
                  <wp:posOffset>232410</wp:posOffset>
                </wp:positionH>
                <wp:positionV relativeFrom="paragraph">
                  <wp:posOffset>42545</wp:posOffset>
                </wp:positionV>
                <wp:extent cx="752475" cy="447675"/>
                <wp:effectExtent l="0" t="0" r="28575" b="28575"/>
                <wp:wrapNone/>
                <wp:docPr id="13" name="Zone de texte 13"/>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02AE59" id="_x0000_t202" coordsize="21600,21600" o:spt="202" path="m,l,21600r21600,l21600,xe">
                <v:stroke joinstyle="miter"/>
                <v:path gradientshapeok="t" o:connecttype="rect"/>
              </v:shapetype>
              <v:shape id="Zone de texte 13" o:spid="_x0000_s1026" type="#_x0000_t202" style="position:absolute;left:0;text-align:left;margin-left:18.3pt;margin-top:3.35pt;width:59.2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Pr>
          <w:noProof/>
          <w:lang w:val="fr-FR" w:eastAsia="fr-FR"/>
        </w:rPr>
        <mc:AlternateContent>
          <mc:Choice Requires="wps">
            <w:drawing>
              <wp:anchor distT="0" distB="0" distL="114300" distR="114300" simplePos="0" relativeHeight="251661312" behindDoc="0" locked="0" layoutInCell="1" allowOverlap="1" wp14:anchorId="1302B4B1" wp14:editId="69DA9F46">
                <wp:simplePos x="0" y="0"/>
                <wp:positionH relativeFrom="column">
                  <wp:posOffset>77013</wp:posOffset>
                </wp:positionH>
                <wp:positionV relativeFrom="paragraph">
                  <wp:posOffset>1205128</wp:posOffset>
                </wp:positionV>
                <wp:extent cx="263347" cy="256032"/>
                <wp:effectExtent l="0" t="0" r="22860" b="10795"/>
                <wp:wrapNone/>
                <wp:docPr id="11" name="Rectangle 11"/>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8F0057" id="Rectangle 11" o:spid="_x0000_s1026" style="position:absolute;margin-left:6.05pt;margin-top:94.9pt;width:20.75pt;height:20.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" fillcolor="white [3212]" strokecolor="white [3212]" strokeweight="2pt"/>
            </w:pict>
          </mc:Fallback>
        </mc:AlternateContent>
      </w:r>
      <w:r w:rsidR="0041189B" w:rsidRPr="0041189B">
        <w:rPr>
          <w:noProof/>
          <w:lang w:val="fr-FR" w:eastAsia="fr-FR"/>
        </w:rPr>
        <w:drawing>
          <wp:inline distT="0" distB="0" distL="0" distR="0">
            <wp:extent cx="5403215" cy="1550035"/>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3215" cy="1550035"/>
                    </a:xfrm>
                    <a:prstGeom prst="rect">
                      <a:avLst/>
                    </a:prstGeom>
                    <a:noFill/>
                    <a:ln>
                      <a:noFill/>
                    </a:ln>
                  </pic:spPr>
                </pic:pic>
              </a:graphicData>
            </a:graphic>
          </wp:inline>
        </w:drawing>
      </w:r>
    </w:p>
    <w:p w:rsidR="0041189B" w:rsidRDefault="00E13757" w:rsidP="005E5C1F">
      <w:pPr>
        <w:pStyle w:val="Lgende"/>
      </w:pPr>
      <w:bookmarkStart w:id="3" w:name="_Ref473799142"/>
      <w:r>
        <w:t xml:space="preserve">Figure </w:t>
      </w:r>
      <w:fldSimple w:instr=" SEQ Figure \* ARABIC ">
        <w:r w:rsidR="00705328">
          <w:rPr>
            <w:noProof/>
          </w:rPr>
          <w:t>4</w:t>
        </w:r>
      </w:fldSimple>
      <w:bookmarkEnd w:id="3"/>
      <w:r>
        <w:t xml:space="preserve"> - Open loop transmit antenna selection (OL-TAS) and cyclic delay diversity (CDD)</w:t>
      </w:r>
    </w:p>
    <w:p w:rsidR="00886D65" w:rsidRDefault="00886D65" w:rsidP="00886D65">
      <w:pPr>
        <w:keepNext/>
        <w:jc w:val="center"/>
      </w:pPr>
      <w:r w:rsidRPr="00D33D55">
        <w:rPr>
          <w:noProof/>
          <w:sz w:val="20"/>
          <w:szCs w:val="20"/>
          <w:lang w:val="fr-FR" w:eastAsia="fr-FR"/>
        </w:rPr>
        <w:drawing>
          <wp:inline distT="0" distB="0" distL="0" distR="0">
            <wp:extent cx="3682800" cy="152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2800" cy="1522800"/>
                    </a:xfrm>
                    <a:prstGeom prst="rect">
                      <a:avLst/>
                    </a:prstGeom>
                    <a:noFill/>
                    <a:ln>
                      <a:noFill/>
                    </a:ln>
                  </pic:spPr>
                </pic:pic>
              </a:graphicData>
            </a:graphic>
          </wp:inline>
        </w:drawing>
      </w:r>
    </w:p>
    <w:p w:rsidR="00886D65" w:rsidRDefault="00886D65" w:rsidP="00886D65">
      <w:pPr>
        <w:pStyle w:val="Lgende"/>
        <w:jc w:val="center"/>
      </w:pPr>
      <w:bookmarkStart w:id="4" w:name="_Ref473801344"/>
      <w:r>
        <w:t xml:space="preserve">Figure </w:t>
      </w:r>
      <w:fldSimple w:instr=" SEQ Figure \* ARABIC ">
        <w:r w:rsidR="00705328">
          <w:rPr>
            <w:noProof/>
          </w:rPr>
          <w:t>5</w:t>
        </w:r>
      </w:fldSimple>
      <w:bookmarkEnd w:id="4"/>
      <w:r>
        <w:t xml:space="preserve"> – SORTD with DFTsOFDM</w:t>
      </w:r>
    </w:p>
    <w:p w:rsidR="000C44B0" w:rsidRDefault="0041189B" w:rsidP="0041189B">
      <w:r>
        <w:t xml:space="preserve">Open loop transmit antenna selection </w:t>
      </w:r>
      <w:r w:rsidR="000C44B0">
        <w:t xml:space="preserve">(OL-TAS) </w:t>
      </w:r>
      <w:r>
        <w:t xml:space="preserve">and cyclic delay diversity (CDD) </w:t>
      </w:r>
      <w:r w:rsidR="00886D65">
        <w:t xml:space="preserve">represented in </w:t>
      </w:r>
      <w:r w:rsidR="00886D65">
        <w:fldChar w:fldCharType="begin"/>
      </w:r>
      <w:r w:rsidR="00886D65">
        <w:instrText xml:space="preserve"> REF _Ref473799142 \h </w:instrText>
      </w:r>
      <w:r w:rsidR="00886D65">
        <w:fldChar w:fldCharType="separate"/>
      </w:r>
      <w:r w:rsidR="008C5DF3">
        <w:t>Figure </w:t>
      </w:r>
      <w:r w:rsidR="00705328">
        <w:rPr>
          <w:noProof/>
        </w:rPr>
        <w:t>4</w:t>
      </w:r>
      <w:r w:rsidR="00886D65">
        <w:fldChar w:fldCharType="end"/>
      </w:r>
      <w:r w:rsidR="00886D65">
        <w:t xml:space="preserve"> </w:t>
      </w:r>
      <w:r>
        <w:t>are also known transmit diversity schemes that preserve the PAPR of DFTsOFDM.</w:t>
      </w:r>
    </w:p>
    <w:p w:rsidR="0041189B" w:rsidRDefault="000C44B0" w:rsidP="0041189B">
      <w:r>
        <w:t>CDD transforms the spatial diversity into frequency diversity</w:t>
      </w:r>
      <w:r w:rsidR="004D652B">
        <w:t xml:space="preserve"> and recovers the extra diversity through coding</w:t>
      </w:r>
      <w:r>
        <w:t xml:space="preserve">.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r w:rsidR="00886D65">
        <w:t xml:space="preserve"> This operation is DM-RS transparent if the delay is short enough. </w:t>
      </w:r>
      <w:r w:rsidR="00EE0EE0">
        <w:t xml:space="preserve">Nevertheless, as it will be shown in the following, CDD has limited gain in already </w:t>
      </w:r>
      <w:r w:rsidR="004D652B">
        <w:t>frequency</w:t>
      </w:r>
      <w:r w:rsidR="00EE0EE0">
        <w:t xml:space="preserve"> selective environments, </w:t>
      </w:r>
      <w:r w:rsidR="004D652B">
        <w:t>such as PUCCH transmission supporting frequency hopping.</w:t>
      </w:r>
    </w:p>
    <w:p w:rsidR="00842DBA" w:rsidRDefault="000C44B0" w:rsidP="003C27D5">
      <w:r>
        <w:t xml:space="preserve">OL-TAS performs switching between transmit antennas during a codeword transmission. </w:t>
      </w:r>
      <w:r w:rsidR="001E7F83">
        <w:t>S</w:t>
      </w:r>
      <w:r>
        <w:t xml:space="preserve">ufficient </w:t>
      </w:r>
      <w:r w:rsidR="001E7F83">
        <w:t>DM-RS need to be inserted in order to estimate channels from all the transmit antenna ports</w:t>
      </w:r>
      <w:r w:rsidR="00970589">
        <w:t xml:space="preserve"> in order to support switching during a codeword transmission</w:t>
      </w:r>
      <w:r w:rsidR="001E7F83">
        <w:t xml:space="preserve">, which leads to </w:t>
      </w:r>
      <w:r w:rsidR="00970589">
        <w:t>denser</w:t>
      </w:r>
      <w:r w:rsidR="001E7F83">
        <w:t xml:space="preserve"> DM-RS </w:t>
      </w:r>
      <w:r w:rsidR="00970589">
        <w:t xml:space="preserve">pattern in the time domain </w:t>
      </w:r>
      <w:r w:rsidR="001E7F83">
        <w:t>than Alamouti-type precoding or CDD</w:t>
      </w:r>
      <w:r w:rsidR="001A62A4">
        <w:t>, at least for low/medium-speed scenarios</w:t>
      </w:r>
      <w:r w:rsidR="00970589">
        <w:t xml:space="preserve"> (DM-RS overhead is N</w:t>
      </w:r>
      <w:r w:rsidR="00970589" w:rsidRPr="00970589">
        <w:rPr>
          <w:vertAlign w:val="subscript"/>
        </w:rPr>
        <w:t>Tx</w:t>
      </w:r>
      <w:r w:rsidR="00970589">
        <w:t xml:space="preserve"> times higher for OL-TAS</w:t>
      </w:r>
      <w:r w:rsidR="004D652B">
        <w:t xml:space="preserve"> in order to yield similar channel estimation reliability</w:t>
      </w:r>
      <w:r w:rsidR="00970589">
        <w:t>)</w:t>
      </w:r>
      <w:r w:rsidR="001E7F83">
        <w:t>.</w:t>
      </w:r>
      <w:r w:rsidR="008B7E3A">
        <w:t xml:space="preserve"> OL-TAS is sensitive to high speed and is generally outperformed by Alamouti-based schemes and CDD </w:t>
      </w:r>
      <w:r w:rsidR="008B7E3A">
        <w:fldChar w:fldCharType="begin"/>
      </w:r>
      <w:r w:rsidR="008B7E3A">
        <w:instrText xml:space="preserve"> REF _Ref473758543 \r \h </w:instrText>
      </w:r>
      <w:r w:rsidR="008B7E3A">
        <w:fldChar w:fldCharType="separate"/>
      </w:r>
      <w:r w:rsidR="00705328">
        <w:t>[5]</w:t>
      </w:r>
      <w:r w:rsidR="008B7E3A">
        <w:fldChar w:fldCharType="end"/>
      </w:r>
      <w:r w:rsidR="008B7E3A">
        <w:t>. We will not further investigate this scheme here.</w:t>
      </w:r>
    </w:p>
    <w:p w:rsidR="002E4AD1" w:rsidRDefault="00EE0EE0" w:rsidP="003C27D5">
      <w:r w:rsidRPr="00EE0EE0">
        <w:t xml:space="preserve">With spatial orthogonal resource transmit diversity </w:t>
      </w:r>
      <w:r>
        <w:t xml:space="preserve">(SORTD) used in LTE-A, as depicted in </w:t>
      </w:r>
      <w:r>
        <w:fldChar w:fldCharType="begin"/>
      </w:r>
      <w:r>
        <w:instrText xml:space="preserve"> REF _Ref473801344 \h </w:instrText>
      </w:r>
      <w:r>
        <w:fldChar w:fldCharType="separate"/>
      </w:r>
      <w:r w:rsidR="00705328">
        <w:t xml:space="preserve">Figure </w:t>
      </w:r>
      <w:r w:rsidR="00705328">
        <w:rPr>
          <w:noProof/>
        </w:rPr>
        <w:t>5</w:t>
      </w:r>
      <w:r>
        <w:fldChar w:fldCharType="end"/>
      </w:r>
      <w:r w:rsidRPr="00EE0EE0">
        <w:t xml:space="preserve">, one orthogonal resource, e.g. one orthogonal sequence (OCC), is used for each transmit antenna. Compared to other schemes, SORTD requires two </w:t>
      </w:r>
      <w:r w:rsidR="006E469E">
        <w:t xml:space="preserve">OCC </w:t>
      </w:r>
      <w:r w:rsidRPr="00EE0EE0">
        <w:t>resources per UE instead of one. Thus, the multiplexing capacity is reduced from 5 to 2.5 UEs per PUCCH PRB</w:t>
      </w:r>
      <w:r>
        <w:t xml:space="preserve">. Even though its performance is lower than that of Alamouti schemes </w:t>
      </w:r>
      <w:r>
        <w:fldChar w:fldCharType="begin"/>
      </w:r>
      <w:r>
        <w:instrText xml:space="preserve"> REF _Ref473758040 \r \h </w:instrText>
      </w:r>
      <w:r>
        <w:fldChar w:fldCharType="separate"/>
      </w:r>
      <w:r w:rsidR="00705328">
        <w:t>[3]</w:t>
      </w:r>
      <w:r>
        <w:fldChar w:fldCharType="end"/>
      </w:r>
      <w:r>
        <w:t>, this scheme was preferred in LTE-A for specification effort reduction, since not much specification effort was needed to add this scheme to pre-existing LTE specifications. This is not a valid argument any longer and performance should be the prime argument, since NR specifications need to be written from scratch.</w:t>
      </w:r>
      <w:r w:rsidR="008B7E3A">
        <w:t xml:space="preserve"> We will not further investigate this scheme here.</w:t>
      </w:r>
    </w:p>
    <w:p w:rsidR="002E4AD1" w:rsidRDefault="002E4AD1">
      <w:pPr>
        <w:spacing w:after="0"/>
        <w:jc w:val="left"/>
      </w:pPr>
      <w:r>
        <w:br w:type="page"/>
      </w:r>
    </w:p>
    <w:p w:rsidR="00E74F8A" w:rsidRDefault="00E74F8A" w:rsidP="00A81622">
      <w:pPr>
        <w:pBdr>
          <w:bottom w:val="single" w:sz="12" w:space="1" w:color="auto"/>
        </w:pBdr>
      </w:pPr>
    </w:p>
    <w:p w:rsidR="00324558" w:rsidRDefault="002B4B53" w:rsidP="00A81622">
      <w:pPr>
        <w:pStyle w:val="Titre1"/>
      </w:pPr>
      <w:r>
        <w:t>Initial Evaluation</w:t>
      </w:r>
    </w:p>
    <w:p w:rsidR="008B7E3A" w:rsidRDefault="008B7E3A" w:rsidP="00F91D30">
      <w:r>
        <w:t xml:space="preserve">We present initial simulation results comparing the performance of PAPR-preserving SC-SFBC, SFBC and CDD for DFTsOFDM long PUCCH transmission. In this initial evaluations, we use the following simulation parameters </w:t>
      </w:r>
    </w:p>
    <w:p w:rsidR="008B7E3A" w:rsidRDefault="008B7E3A" w:rsidP="00F91D30"/>
    <w:tbl>
      <w:tblPr>
        <w:tblW w:w="0" w:type="auto"/>
        <w:tblCellMar>
          <w:left w:w="0" w:type="dxa"/>
          <w:right w:w="0" w:type="dxa"/>
        </w:tblCellMar>
        <w:tblLook w:val="04A0" w:firstRow="1" w:lastRow="0" w:firstColumn="1" w:lastColumn="0" w:noHBand="0" w:noVBand="1"/>
      </w:tblPr>
      <w:tblGrid>
        <w:gridCol w:w="2073"/>
        <w:gridCol w:w="7698"/>
      </w:tblGrid>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Assumptions ,</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r>
      <w:tr w:rsidR="008B7E3A" w:rsidRPr="00603E6F"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B7E3A" w:rsidRPr="006861E9" w:rsidRDefault="008B7E3A" w:rsidP="008B7E3A">
            <w:pPr>
              <w:spacing w:after="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03E6F" w:rsidRDefault="008B7E3A" w:rsidP="008B7E3A">
            <w:pPr>
              <w:spacing w:after="0"/>
              <w:rPr>
                <w:rFonts w:eastAsia="Times New Roman"/>
                <w:sz w:val="22"/>
                <w:szCs w:val="22"/>
                <w:lang w:eastAsia="fr-FR"/>
              </w:rPr>
            </w:pPr>
            <w:r>
              <w:rPr>
                <w:rFonts w:eastAsia="Times New Roman"/>
                <w:sz w:val="22"/>
                <w:szCs w:val="22"/>
                <w:lang w:eastAsia="fr-FR"/>
              </w:rPr>
              <w:t>14 DFTsOFDM symbols with NCP, 1ms</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r>
      <w:tr w:rsidR="008B7E3A" w:rsidRPr="0097058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970589" w:rsidRDefault="008B7E3A" w:rsidP="008B7E3A">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w:t>
            </w:r>
            <w:r w:rsidRPr="006861E9">
              <w:rPr>
                <w:rFonts w:ascii="Times New Roman" w:hAnsi="Times New Roman" w:cs="Times New Roman"/>
                <w:color w:val="000000"/>
                <w:kern w:val="24"/>
                <w:sz w:val="22"/>
                <w:szCs w:val="22"/>
              </w:rPr>
              <w:t>PRBs (</w:t>
            </w:r>
            <w:r>
              <w:rPr>
                <w:rFonts w:ascii="Times New Roman" w:hAnsi="Times New Roman" w:cs="Times New Roman"/>
                <w:color w:val="000000"/>
                <w:kern w:val="24"/>
                <w:sz w:val="22"/>
                <w:szCs w:val="22"/>
              </w:rPr>
              <w:t>12</w:t>
            </w:r>
            <w:r w:rsidRPr="006861E9">
              <w:rPr>
                <w:rFonts w:ascii="Times New Roman" w:hAnsi="Times New Roman" w:cs="Times New Roman"/>
                <w:color w:val="000000"/>
                <w:kern w:val="24"/>
                <w:sz w:val="22"/>
                <w:szCs w:val="22"/>
              </w:rPr>
              <w:t xml:space="preserve"> subcarriers)</w:t>
            </w:r>
            <w:r>
              <w:rPr>
                <w:rFonts w:ascii="Times New Roman" w:hAnsi="Times New Roman" w:cs="Times New Roman"/>
                <w:color w:val="000000"/>
                <w:kern w:val="24"/>
                <w:sz w:val="22"/>
                <w:szCs w:val="22"/>
              </w:rPr>
              <w:t xml:space="preserve"> with frequency hopping</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6E469E">
            <w:pPr>
              <w:pStyle w:val="NormalWeb"/>
              <w:spacing w:before="0" w:beforeAutospacing="0" w:after="0" w:afterAutospacing="0"/>
              <w:ind w:firstLine="110"/>
              <w:rPr>
                <w:rFonts w:ascii="Times New Roman" w:hAnsi="Times New Roman" w:cs="Times New Roman"/>
                <w:sz w:val="22"/>
                <w:szCs w:val="22"/>
              </w:rPr>
            </w:pPr>
            <w:r w:rsidRPr="007035F6">
              <w:rPr>
                <w:rFonts w:ascii="Times New Roman" w:hAnsi="Times New Roman" w:cs="Times New Roman"/>
                <w:color w:val="000000"/>
                <w:kern w:val="2"/>
                <w:sz w:val="22"/>
                <w:szCs w:val="22"/>
              </w:rPr>
              <w:t xml:space="preserve">Polynomial model for </w:t>
            </w:r>
            <w:r w:rsidR="006E469E">
              <w:rPr>
                <w:rFonts w:ascii="Times New Roman" w:hAnsi="Times New Roman" w:cs="Times New Roman"/>
                <w:color w:val="000000"/>
                <w:kern w:val="2"/>
                <w:sz w:val="22"/>
                <w:szCs w:val="22"/>
              </w:rPr>
              <w:t xml:space="preserve">UL </w:t>
            </w:r>
            <w:r w:rsidR="006E469E">
              <w:rPr>
                <w:rFonts w:ascii="Times New Roman" w:hAnsi="Times New Roman" w:cs="Times New Roman"/>
                <w:color w:val="000000"/>
                <w:kern w:val="2"/>
                <w:sz w:val="22"/>
                <w:szCs w:val="22"/>
              </w:rPr>
              <w:fldChar w:fldCharType="begin"/>
            </w:r>
            <w:r w:rsidR="006E469E">
              <w:rPr>
                <w:rFonts w:ascii="Times New Roman" w:hAnsi="Times New Roman" w:cs="Times New Roman"/>
                <w:color w:val="000000"/>
                <w:kern w:val="2"/>
                <w:sz w:val="22"/>
                <w:szCs w:val="22"/>
              </w:rPr>
              <w:instrText xml:space="preserve"> REF _Ref471402488 \r \h </w:instrText>
            </w:r>
            <w:r w:rsidR="006E469E">
              <w:rPr>
                <w:rFonts w:ascii="Times New Roman" w:hAnsi="Times New Roman" w:cs="Times New Roman"/>
                <w:color w:val="000000"/>
                <w:kern w:val="2"/>
                <w:sz w:val="22"/>
                <w:szCs w:val="22"/>
              </w:rPr>
            </w:r>
            <w:r w:rsidR="006E469E">
              <w:rPr>
                <w:rFonts w:ascii="Times New Roman" w:hAnsi="Times New Roman" w:cs="Times New Roman"/>
                <w:color w:val="000000"/>
                <w:kern w:val="2"/>
                <w:sz w:val="22"/>
                <w:szCs w:val="22"/>
              </w:rPr>
              <w:fldChar w:fldCharType="separate"/>
            </w:r>
            <w:r w:rsidR="00705328">
              <w:rPr>
                <w:rFonts w:ascii="Times New Roman" w:hAnsi="Times New Roman" w:cs="Times New Roman"/>
                <w:color w:val="000000"/>
                <w:kern w:val="2"/>
                <w:sz w:val="22"/>
                <w:szCs w:val="22"/>
              </w:rPr>
              <w:t>[6]</w:t>
            </w:r>
            <w:r w:rsidR="006E469E">
              <w:rPr>
                <w:rFonts w:ascii="Times New Roman" w:hAnsi="Times New Roman" w:cs="Times New Roman"/>
                <w:color w:val="000000"/>
                <w:kern w:val="2"/>
                <w:sz w:val="22"/>
                <w:szCs w:val="22"/>
              </w:rPr>
              <w:fldChar w:fldCharType="end"/>
            </w:r>
            <w:r w:rsidRPr="006D7135">
              <w:rPr>
                <w:rFonts w:ascii="Times New Roman" w:hAnsi="Times New Roman" w:cs="Times New Roman"/>
                <w:sz w:val="20"/>
                <w:szCs w:val="20"/>
              </w:rPr>
              <w:t>, IBO=-8dB</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 xml:space="preserve">QPSK1/2 </w:t>
            </w:r>
          </w:p>
        </w:tc>
      </w:tr>
      <w:tr w:rsidR="008B7E3A" w:rsidRPr="002E32EB" w:rsidTr="006E469E">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76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rsidR="008B7E3A" w:rsidRPr="002E32EB" w:rsidRDefault="008B7E3A" w:rsidP="008B7E3A">
            <w:pPr>
              <w:pStyle w:val="NormalWeb"/>
              <w:overflowPunct w:val="0"/>
              <w:spacing w:before="0" w:beforeAutospacing="0" w:after="0" w:afterAutospacing="0"/>
              <w:ind w:firstLine="110"/>
              <w:jc w:val="left"/>
              <w:rPr>
                <w:rFonts w:ascii="Times New Roman" w:hAnsi="Times New Roman" w:cs="Times New Roman"/>
                <w:sz w:val="22"/>
                <w:szCs w:val="22"/>
              </w:rPr>
            </w:pPr>
            <w:r w:rsidRPr="006E469E">
              <w:rPr>
                <w:rFonts w:ascii="Times New Roman" w:hAnsi="Times New Roman" w:cs="Times New Roman"/>
                <w:sz w:val="22"/>
                <w:szCs w:val="22"/>
              </w:rPr>
              <w:t>Realistic, based on LTE-type pilots</w:t>
            </w:r>
          </w:p>
        </w:tc>
      </w:tr>
      <w:tr w:rsidR="008B7E3A" w:rsidRPr="002E32EB"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2E32EB"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TDL-A 300ns</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CDD delay</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p>
        </w:tc>
      </w:tr>
    </w:tbl>
    <w:p w:rsidR="008B7E3A" w:rsidRDefault="008B7E3A" w:rsidP="00F91D30"/>
    <w:p w:rsidR="008B7E3A" w:rsidRDefault="008B7E3A" w:rsidP="00F91D30">
      <w:r>
        <w:t xml:space="preserve">As shown in </w:t>
      </w:r>
      <w:r>
        <w:fldChar w:fldCharType="begin"/>
      </w:r>
      <w:r>
        <w:instrText xml:space="preserve"> REF _Ref473758543 \r \h </w:instrText>
      </w:r>
      <w:r>
        <w:fldChar w:fldCharType="separate"/>
      </w:r>
      <w:r w:rsidR="00705328">
        <w:t>[5]</w:t>
      </w:r>
      <w:r>
        <w:fldChar w:fldCharType="end"/>
      </w:r>
      <w:r>
        <w:t>, for higher bands transmit diversity schemes can be combined with analog beamforming as long as we are able to define two DM-RS antenna ports serving as support for 2Tx transmit diversity.</w:t>
      </w:r>
      <w:r w:rsidR="002E4AD1">
        <w:t xml:space="preserve"> FSTD can further be applied on top of the presented techniques to extend to 4Tx antennas.</w:t>
      </w:r>
    </w:p>
    <w:p w:rsidR="009E2F98" w:rsidRDefault="00842DBA" w:rsidP="00842DBA">
      <w:r>
        <w:t xml:space="preserve">SFBC is only given as a FER performance reference and is not proposed to be used for DFTsOFDM </w:t>
      </w:r>
      <w:r w:rsidR="008B7E3A">
        <w:t xml:space="preserve">long PUCCH </w:t>
      </w:r>
      <w:r>
        <w:t>as it engenders around 1dB PAPR loss at CCDF target 10</w:t>
      </w:r>
      <w:r w:rsidRPr="002B1EB3">
        <w:rPr>
          <w:vertAlign w:val="superscript"/>
        </w:rPr>
        <w:t>-4</w:t>
      </w:r>
      <w:r>
        <w:t xml:space="preserve">. </w:t>
      </w:r>
    </w:p>
    <w:p w:rsidR="008B7E3A" w:rsidRDefault="008B7E3A" w:rsidP="00842DBA">
      <w:r w:rsidRPr="005E5C1F">
        <w:t>Pre-DFT STBC schemes are not investigated here:</w:t>
      </w:r>
      <w:r>
        <w:t xml:space="preserve"> although diversity achieving, a more complex receiver is needed than for SFBC/CDD type schemes.</w:t>
      </w:r>
      <w:r w:rsidR="005E5C1F">
        <w:t xml:space="preserve"> Some results in a PUSCH context can be found in </w:t>
      </w:r>
      <w:r w:rsidR="005E5C1F">
        <w:fldChar w:fldCharType="begin"/>
      </w:r>
      <w:r w:rsidR="005E5C1F">
        <w:instrText xml:space="preserve"> REF _Ref477968925 \r \h </w:instrText>
      </w:r>
      <w:r w:rsidR="005E5C1F">
        <w:fldChar w:fldCharType="separate"/>
      </w:r>
      <w:r w:rsidR="005E5C1F">
        <w:t>[5]</w:t>
      </w:r>
      <w:r w:rsidR="005E5C1F">
        <w:fldChar w:fldCharType="end"/>
      </w:r>
      <w:r w:rsidR="005E5C1F">
        <w:t>.</w:t>
      </w:r>
    </w:p>
    <w:p w:rsidR="00C80102" w:rsidRDefault="00C80102" w:rsidP="00842DBA"/>
    <w:p w:rsidR="007035F6" w:rsidRDefault="007035F6" w:rsidP="001D3A4E">
      <w:r w:rsidRPr="00333EAF">
        <w:fldChar w:fldCharType="begin"/>
      </w:r>
      <w:r w:rsidRPr="00333EAF">
        <w:instrText xml:space="preserve"> REF _Ref471405472 \h </w:instrText>
      </w:r>
      <w:r w:rsidR="00333EAF">
        <w:instrText xml:space="preserve"> \* MERGEFORMAT </w:instrText>
      </w:r>
      <w:r w:rsidRPr="00333EAF">
        <w:fldChar w:fldCharType="separate"/>
      </w:r>
      <w:r w:rsidR="00705328" w:rsidRPr="00333EAF">
        <w:t xml:space="preserve">Figure </w:t>
      </w:r>
      <w:r w:rsidR="00705328">
        <w:rPr>
          <w:noProof/>
        </w:rPr>
        <w:t>6</w:t>
      </w:r>
      <w:r w:rsidRPr="00333EAF">
        <w:fldChar w:fldCharType="end"/>
      </w:r>
      <w:r w:rsidRPr="00333EAF">
        <w:t xml:space="preserve"> </w:t>
      </w:r>
      <w:r w:rsidR="001D3A4E" w:rsidRPr="00333EAF">
        <w:t>present</w:t>
      </w:r>
      <w:r w:rsidR="003C27D5" w:rsidRPr="00333EAF">
        <w:t>s</w:t>
      </w:r>
      <w:r w:rsidR="001D3A4E" w:rsidRPr="00333EAF">
        <w:t xml:space="preserve"> c</w:t>
      </w:r>
      <w:r w:rsidR="001D3A4E">
        <w:t>omparative performance of SC-SFBC</w:t>
      </w:r>
      <w:r w:rsidR="001D3A4E" w:rsidRPr="006E469E">
        <w:t xml:space="preserve">, SFBC, </w:t>
      </w:r>
      <w:r w:rsidR="003C27D5" w:rsidRPr="006E469E">
        <w:t>and SIMO transmission</w:t>
      </w:r>
      <w:r w:rsidR="003C27D5">
        <w:t xml:space="preserve"> </w:t>
      </w:r>
      <w:r>
        <w:t>for long PUCCH with DFTsOFDM</w:t>
      </w:r>
      <w:r w:rsidR="00842DBA">
        <w:t xml:space="preserve">. </w:t>
      </w:r>
    </w:p>
    <w:p w:rsidR="007035F6" w:rsidRDefault="00842DBA" w:rsidP="001D3A4E">
      <w:r w:rsidRPr="005B2DDF">
        <w:rPr>
          <w:i/>
        </w:rPr>
        <w:lastRenderedPageBreak/>
        <w:t>Full diversity Alamouti schemes are more robust than CDD</w:t>
      </w:r>
      <w:r>
        <w:t>, even with the current sub-optimal L-MMSE decoder.</w:t>
      </w:r>
    </w:p>
    <w:p w:rsidR="001D3A4E" w:rsidRDefault="00C80102" w:rsidP="001D3A4E">
      <w:r w:rsidRPr="0032599E">
        <w:t>CDD is easy to implement and can be transparent to the receiver in the case of short delay CDD.</w:t>
      </w:r>
      <w:r>
        <w:t xml:space="preserve"> </w:t>
      </w:r>
      <w:r w:rsidRPr="006C6CA0">
        <w:t xml:space="preserve">Nevertheless, CDD has </w:t>
      </w:r>
      <w:r>
        <w:t xml:space="preserve">very </w:t>
      </w:r>
      <w:r w:rsidRPr="006C6CA0">
        <w:t xml:space="preserve">variable performance </w:t>
      </w:r>
      <w:r>
        <w:t>depending on the applied</w:t>
      </w:r>
      <w:r w:rsidRPr="006C6CA0">
        <w:t xml:space="preserve"> delay</w:t>
      </w:r>
      <w:r>
        <w:t xml:space="preserve">, and an optimized delay (depending on the channel profile, allocation size, modcod) cannot be applied in an open loop scenario. </w:t>
      </w:r>
      <w:r w:rsidRPr="006C6CA0">
        <w:t xml:space="preserve">Also, </w:t>
      </w:r>
      <w:r>
        <w:t xml:space="preserve">since CDD recovers frequency diversity through coding, </w:t>
      </w:r>
      <w:r w:rsidRPr="006C6CA0">
        <w:t xml:space="preserve">CDD performance </w:t>
      </w:r>
      <w:r w:rsidR="007035F6">
        <w:t>depends on the coding rate and tends to degrade</w:t>
      </w:r>
      <w:r>
        <w:t xml:space="preserve"> </w:t>
      </w:r>
      <w:bookmarkStart w:id="5" w:name="_GoBack"/>
      <w:bookmarkEnd w:id="5"/>
      <w:r>
        <w:t>in scenarios where enough diversity is already present (frequency selective channels/frequency hopping transmission where the extra diversity obtained through CDD is limited, high speed where the extra diversity wrt to already present time diversity has limited gain, etc).</w:t>
      </w:r>
      <w:r w:rsidR="007035F6">
        <w:t xml:space="preserve"> </w:t>
      </w:r>
    </w:p>
    <w:p w:rsidR="007035F6" w:rsidRDefault="007035F6" w:rsidP="007035F6">
      <w:r>
        <w:t xml:space="preserve">Even in highly selective environments, where SC-SFBC may slightly suffer from precoding onto distant subcarriers susceptible of having different channel realizations, </w:t>
      </w:r>
      <w:r w:rsidR="002E4AD1">
        <w:t>t</w:t>
      </w:r>
      <w:r w:rsidRPr="007035F6">
        <w:t>he PAPR preserving SC-SFBC matches the FER performance of SFBC</w:t>
      </w:r>
      <w:r>
        <w:t>. Since PUCCH allocations are rather short, there is no loss due to precoding on distant subcarriers.</w:t>
      </w:r>
    </w:p>
    <w:p w:rsidR="007035F6" w:rsidRDefault="007035F6" w:rsidP="007035F6">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Default="001B1F2D" w:rsidP="00333EAF">
      <w:pPr>
        <w:jc w:val="center"/>
      </w:pPr>
      <w:r w:rsidRPr="001B1F2D">
        <w:rPr>
          <w:noProof/>
          <w:lang w:val="fr-FR" w:eastAsia="fr-FR"/>
        </w:rPr>
        <w:drawing>
          <wp:inline distT="0" distB="0" distL="0" distR="0">
            <wp:extent cx="3214800" cy="4006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4800" cy="4006800"/>
                    </a:xfrm>
                    <a:prstGeom prst="rect">
                      <a:avLst/>
                    </a:prstGeom>
                    <a:noFill/>
                    <a:ln>
                      <a:noFill/>
                    </a:ln>
                  </pic:spPr>
                </pic:pic>
              </a:graphicData>
            </a:graphic>
          </wp:inline>
        </w:drawing>
      </w:r>
    </w:p>
    <w:p w:rsidR="001D3A4E" w:rsidRDefault="001D3A4E" w:rsidP="001D3A4E">
      <w:pPr>
        <w:pStyle w:val="Lgende"/>
        <w:jc w:val="center"/>
      </w:pPr>
      <w:bookmarkStart w:id="6" w:name="_Ref471405472"/>
      <w:r w:rsidRPr="00333EAF">
        <w:t xml:space="preserve">Figure </w:t>
      </w:r>
      <w:fldSimple w:instr=" SEQ Figure \* ARABIC ">
        <w:r w:rsidR="00705328">
          <w:rPr>
            <w:noProof/>
          </w:rPr>
          <w:t>6</w:t>
        </w:r>
      </w:fldSimple>
      <w:bookmarkEnd w:id="6"/>
      <w:r w:rsidRPr="00333EAF">
        <w:t xml:space="preserve"> - Fc=4GHz, TDL-A 30</w:t>
      </w:r>
      <w:r w:rsidR="007035F6" w:rsidRPr="00333EAF">
        <w:t>0</w:t>
      </w:r>
      <w:r w:rsidRPr="00333EAF">
        <w:t xml:space="preserve">ns, 3kmph, real channel estimation, </w:t>
      </w:r>
      <w:r w:rsidR="007035F6" w:rsidRPr="00333EAF">
        <w:t>1</w:t>
      </w:r>
      <w:r w:rsidRPr="00333EAF">
        <w:t>RB</w:t>
      </w:r>
      <w:r w:rsidR="007035F6" w:rsidRPr="00333EAF">
        <w:t xml:space="preserve"> with frequency hopping</w:t>
      </w:r>
      <w:r w:rsidR="0007135A" w:rsidRPr="00333EAF">
        <w:t xml:space="preserve">, </w:t>
      </w:r>
      <w:r w:rsidR="00333EAF" w:rsidRPr="00333EAF">
        <w:t>LTE-type</w:t>
      </w:r>
      <w:r w:rsidR="0007135A" w:rsidRPr="00333EAF">
        <w:t xml:space="preserve"> pilot</w:t>
      </w:r>
      <w:r w:rsidR="00333EAF" w:rsidRPr="00333EAF">
        <w:t>s</w:t>
      </w:r>
    </w:p>
    <w:p w:rsidR="0007135A" w:rsidRPr="0007135A" w:rsidRDefault="0007135A" w:rsidP="0007135A"/>
    <w:p w:rsidR="003C27D5" w:rsidRDefault="003C27D5" w:rsidP="003C27D5"/>
    <w:p w:rsidR="00FF1D59" w:rsidRDefault="00FF1D59" w:rsidP="00296B19">
      <w:pPr>
        <w:pStyle w:val="Lgende"/>
        <w:jc w:val="center"/>
      </w:pPr>
    </w:p>
    <w:p w:rsidR="00333EAF" w:rsidRDefault="00333EAF" w:rsidP="009C396F"/>
    <w:p w:rsidR="00333EAF" w:rsidRDefault="00333EAF" w:rsidP="009C396F"/>
    <w:p w:rsidR="00FF1D59" w:rsidRDefault="00FF1D59" w:rsidP="00A81622">
      <w:pPr>
        <w:pBdr>
          <w:bottom w:val="single" w:sz="12" w:space="1" w:color="auto"/>
        </w:pBdr>
      </w:pPr>
    </w:p>
    <w:p w:rsidR="00C42741" w:rsidRDefault="00C42741" w:rsidP="00A81622">
      <w:pPr>
        <w:pStyle w:val="Titre1"/>
      </w:pPr>
      <w:r w:rsidRPr="00055E47">
        <w:lastRenderedPageBreak/>
        <w:t>Conclusion</w:t>
      </w:r>
    </w:p>
    <w:p w:rsidR="00117541" w:rsidRDefault="00117541" w:rsidP="00117541">
      <w:r w:rsidRPr="00117541">
        <w:rPr>
          <w:b/>
        </w:rPr>
        <w:t>Observation</w:t>
      </w:r>
      <w:r w:rsidR="007035F6">
        <w:rPr>
          <w:b/>
        </w:rPr>
        <w:t xml:space="preserve"> 1</w:t>
      </w:r>
      <w:r>
        <w:t xml:space="preserve">: </w:t>
      </w:r>
      <w:r w:rsidRPr="00117541">
        <w:rPr>
          <w:i/>
        </w:rPr>
        <w:t>PAPR preserving SFBC shows the following characteristics:</w:t>
      </w:r>
    </w:p>
    <w:p w:rsidR="00117541" w:rsidRPr="00117541" w:rsidRDefault="00117541" w:rsidP="00117541">
      <w:pPr>
        <w:pStyle w:val="Paragraphedeliste"/>
        <w:numPr>
          <w:ilvl w:val="0"/>
          <w:numId w:val="32"/>
        </w:numPr>
        <w:ind w:leftChars="0"/>
        <w:rPr>
          <w:i/>
        </w:rPr>
      </w:pPr>
      <w:r w:rsidRPr="00117541">
        <w:rPr>
          <w:i/>
        </w:rPr>
        <w:t>Full-diversity achieving</w:t>
      </w:r>
    </w:p>
    <w:p w:rsidR="00117541" w:rsidRPr="00117541" w:rsidRDefault="00117541" w:rsidP="00117541">
      <w:pPr>
        <w:pStyle w:val="Paragraphedeliste"/>
        <w:numPr>
          <w:ilvl w:val="0"/>
          <w:numId w:val="32"/>
        </w:numPr>
        <w:ind w:leftChars="0"/>
        <w:rPr>
          <w:i/>
        </w:rPr>
      </w:pPr>
      <w:r w:rsidRPr="00117541">
        <w:rPr>
          <w:i/>
        </w:rPr>
        <w:t>Applicable to any number of symbols per slot</w:t>
      </w:r>
    </w:p>
    <w:p w:rsidR="00117541" w:rsidRPr="00117541" w:rsidRDefault="00117541" w:rsidP="00117541">
      <w:pPr>
        <w:pStyle w:val="Paragraphedeliste"/>
        <w:numPr>
          <w:ilvl w:val="0"/>
          <w:numId w:val="32"/>
        </w:numPr>
        <w:ind w:leftChars="0"/>
        <w:rPr>
          <w:i/>
        </w:rPr>
      </w:pPr>
      <w:r w:rsidRPr="00117541">
        <w:rPr>
          <w:i/>
        </w:rPr>
        <w:t>PAPR conserving</w:t>
      </w:r>
    </w:p>
    <w:p w:rsidR="00117541" w:rsidRDefault="00117541" w:rsidP="00117541">
      <w:pPr>
        <w:pStyle w:val="Paragraphedeliste"/>
        <w:numPr>
          <w:ilvl w:val="0"/>
          <w:numId w:val="32"/>
        </w:numPr>
        <w:ind w:leftChars="0"/>
      </w:pPr>
      <w:r w:rsidRPr="00117541">
        <w:rPr>
          <w:i/>
        </w:rPr>
        <w:t>Low-complexity frequency-domain MMSE detection based on order-2 matrix inversions</w:t>
      </w:r>
    </w:p>
    <w:p w:rsidR="007035F6" w:rsidRDefault="007035F6" w:rsidP="005B2DDF">
      <w:r w:rsidRPr="007035F6">
        <w:rPr>
          <w:b/>
        </w:rPr>
        <w:t>Observation 2</w:t>
      </w:r>
      <w:r>
        <w:t xml:space="preserve">: </w:t>
      </w:r>
      <w:r w:rsidRPr="005B2DDF">
        <w:rPr>
          <w:i/>
        </w:rPr>
        <w:t xml:space="preserve">Full diversity Alamouti schemes are more robust than </w:t>
      </w:r>
      <w:r w:rsidR="00333EAF">
        <w:rPr>
          <w:i/>
        </w:rPr>
        <w:t xml:space="preserve">short delay </w:t>
      </w:r>
      <w:r w:rsidRPr="005B2DDF">
        <w:rPr>
          <w:i/>
        </w:rPr>
        <w:t>CDD</w:t>
      </w:r>
    </w:p>
    <w:p w:rsidR="007035F6" w:rsidRDefault="007035F6" w:rsidP="005B2DDF">
      <w:pPr>
        <w:rPr>
          <w:i/>
        </w:rPr>
      </w:pPr>
      <w:r w:rsidRPr="007035F6">
        <w:rPr>
          <w:b/>
        </w:rPr>
        <w:t>Observation 3</w:t>
      </w:r>
      <w:r>
        <w:t xml:space="preserve">: </w:t>
      </w:r>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Pr="005B2DDF" w:rsidRDefault="007035F6" w:rsidP="005B2DDF"/>
    <w:p w:rsidR="00A81622" w:rsidRDefault="005B2DDF" w:rsidP="00A81622">
      <w:r w:rsidRPr="005B2DDF">
        <w:rPr>
          <w:b/>
        </w:rPr>
        <w:t>Proposal 1</w:t>
      </w:r>
      <w:r>
        <w:t xml:space="preserve">: </w:t>
      </w:r>
      <w:r w:rsidRPr="005B2DDF">
        <w:rPr>
          <w:i/>
        </w:rPr>
        <w:t xml:space="preserve">Support </w:t>
      </w:r>
      <w:r w:rsidR="00C80102">
        <w:rPr>
          <w:i/>
        </w:rPr>
        <w:t xml:space="preserve">Alamouti-based </w:t>
      </w:r>
      <w:r w:rsidRPr="005B2DDF">
        <w:rPr>
          <w:i/>
        </w:rPr>
        <w:t xml:space="preserve">transmit diversity schemes for </w:t>
      </w:r>
      <w:r w:rsidR="00117541">
        <w:rPr>
          <w:i/>
        </w:rPr>
        <w:t xml:space="preserve">long PUCCH with </w:t>
      </w:r>
      <w:r w:rsidRPr="005B2DDF">
        <w:rPr>
          <w:i/>
        </w:rPr>
        <w:t>DFTsOFDM.</w:t>
      </w:r>
    </w:p>
    <w:p w:rsidR="00A81622" w:rsidRDefault="00181778" w:rsidP="00A81622">
      <w:pPr>
        <w:rPr>
          <w:i/>
        </w:rPr>
      </w:pPr>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w:t>
      </w:r>
      <w:r w:rsidR="008E2713">
        <w:rPr>
          <w:i/>
        </w:rPr>
        <w:t xml:space="preserve"> long PUCCH with</w:t>
      </w:r>
      <w:r w:rsidRPr="005B2DDF">
        <w:rPr>
          <w:i/>
        </w:rPr>
        <w:t xml:space="preserve"> DFTsOFDM</w:t>
      </w:r>
      <w:r w:rsidR="005B2DDF">
        <w:rPr>
          <w:i/>
        </w:rPr>
        <w:t>.</w:t>
      </w:r>
    </w:p>
    <w:p w:rsidR="0049738E" w:rsidRDefault="0049738E">
      <w:pPr>
        <w:spacing w:after="0"/>
        <w:jc w:val="left"/>
        <w:rPr>
          <w:i/>
        </w:rPr>
      </w:pPr>
    </w:p>
    <w:p w:rsidR="008E2713" w:rsidRDefault="008E2713">
      <w:pPr>
        <w:spacing w:after="0"/>
        <w:jc w:val="left"/>
        <w:rPr>
          <w:i/>
        </w:rPr>
      </w:pPr>
    </w:p>
    <w:p w:rsidR="008E2713" w:rsidRDefault="008E2713">
      <w:pPr>
        <w:pBdr>
          <w:bottom w:val="single" w:sz="12" w:space="1" w:color="auto"/>
        </w:pBdr>
        <w:spacing w:after="0"/>
        <w:jc w:val="left"/>
        <w:rPr>
          <w:i/>
        </w:rPr>
      </w:pPr>
    </w:p>
    <w:p w:rsidR="0049738E" w:rsidRDefault="0049738E" w:rsidP="0049738E">
      <w:pPr>
        <w:pStyle w:val="Titre1"/>
      </w:pPr>
      <w:r>
        <w:t>R</w:t>
      </w:r>
      <w:r w:rsidRPr="00055E47">
        <w:t>eferences</w:t>
      </w:r>
    </w:p>
    <w:p w:rsidR="00705328" w:rsidRDefault="0049738E" w:rsidP="0049738E">
      <w:pPr>
        <w:pStyle w:val="Titre3"/>
        <w:numPr>
          <w:ilvl w:val="0"/>
          <w:numId w:val="10"/>
        </w:numPr>
      </w:pPr>
      <w:bookmarkStart w:id="7" w:name="_Ref477424004"/>
      <w:bookmarkStart w:id="8" w:name="_Ref468982085"/>
      <w:bookmarkStart w:id="9" w:name="_Ref461457447"/>
      <w:bookmarkStart w:id="10" w:name="_Ref457744160"/>
      <w:bookmarkStart w:id="11" w:name="_Ref468983461"/>
      <w:r w:rsidRPr="000F778A">
        <w:t>Chairman’s note</w:t>
      </w:r>
      <w:r>
        <w:t>s</w:t>
      </w:r>
      <w:r w:rsidRPr="000F778A">
        <w:t>, RAN1</w:t>
      </w:r>
      <w:r>
        <w:t xml:space="preserve"> NR AH 01, S</w:t>
      </w:r>
      <w:r w:rsidR="000F41A6">
        <w:t>pokane, Washington, January 201</w:t>
      </w:r>
      <w:r>
        <w:t>7</w:t>
      </w:r>
      <w:r w:rsidR="00705328">
        <w:t>.</w:t>
      </w:r>
      <w:bookmarkEnd w:id="7"/>
    </w:p>
    <w:p w:rsidR="0049738E" w:rsidRDefault="00705328" w:rsidP="0049738E">
      <w:pPr>
        <w:pStyle w:val="Titre3"/>
        <w:numPr>
          <w:ilvl w:val="0"/>
          <w:numId w:val="10"/>
        </w:numPr>
      </w:pPr>
      <w:bookmarkStart w:id="12" w:name="_Ref477424013"/>
      <w:r>
        <w:t>Chairman’s notes, RAN1#88, Athens, Greece, February 2017</w:t>
      </w:r>
      <w:r w:rsidR="000F41A6">
        <w:t>.</w:t>
      </w:r>
      <w:bookmarkEnd w:id="12"/>
    </w:p>
    <w:p w:rsidR="008555DE" w:rsidRDefault="008555DE" w:rsidP="0049738E">
      <w:pPr>
        <w:pStyle w:val="Titre3"/>
        <w:numPr>
          <w:ilvl w:val="0"/>
          <w:numId w:val="10"/>
        </w:numPr>
      </w:pPr>
      <w:bookmarkStart w:id="13" w:name="_Ref473758040"/>
      <w:bookmarkStart w:id="14" w:name="_Ref468984773"/>
      <w:bookmarkEnd w:id="8"/>
      <w:bookmarkEnd w:id="9"/>
      <w:bookmarkEnd w:id="10"/>
      <w:bookmarkEnd w:id="11"/>
      <w:r w:rsidRPr="006F4B22">
        <w:t>R1-105709</w:t>
      </w:r>
      <w:r>
        <w:t>, Comparison of 2-Tx transmit diversity schemes for PUCCH Format 3, RAN1#62b.</w:t>
      </w:r>
      <w:bookmarkEnd w:id="13"/>
    </w:p>
    <w:p w:rsidR="00190654" w:rsidRDefault="0049738E" w:rsidP="0049738E">
      <w:pPr>
        <w:pStyle w:val="Titre3"/>
        <w:numPr>
          <w:ilvl w:val="0"/>
          <w:numId w:val="10"/>
        </w:numPr>
      </w:pPr>
      <w:bookmarkStart w:id="15" w:name="_Ref473758531"/>
      <w:r>
        <w:t xml:space="preserve">C. Ciochina, D. Castelain, D. Mottier and H. Sari, “A Space-Frequency Block Code for Single-Carrier FDMA,” </w:t>
      </w:r>
      <w:r w:rsidRPr="00965FE1">
        <w:t>Electro</w:t>
      </w:r>
      <w:r>
        <w:t xml:space="preserve">nics Letters 44(11):690 - 691 </w:t>
      </w:r>
      <w:r w:rsidRPr="00965FE1">
        <w:t>February 2008</w:t>
      </w:r>
      <w:r w:rsidR="00190654">
        <w:t>.</w:t>
      </w:r>
      <w:bookmarkEnd w:id="15"/>
    </w:p>
    <w:p w:rsidR="00A54F1A" w:rsidRDefault="002652DB" w:rsidP="00A54F1A">
      <w:pPr>
        <w:pStyle w:val="Titre3"/>
        <w:numPr>
          <w:ilvl w:val="0"/>
          <w:numId w:val="10"/>
        </w:numPr>
        <w:rPr>
          <w:rFonts w:asciiTheme="majorHAnsi" w:hAnsiTheme="majorHAnsi" w:cstheme="majorHAnsi"/>
        </w:rPr>
      </w:pPr>
      <w:bookmarkStart w:id="16" w:name="_Ref477968925"/>
      <w:bookmarkStart w:id="17" w:name="_Ref473758543"/>
      <w:r w:rsidRPr="002652DB">
        <w:t>R1-1704814</w:t>
      </w:r>
      <w:r w:rsidR="00AD08EA" w:rsidRPr="002652DB">
        <w:t xml:space="preserve"> </w:t>
      </w:r>
      <w:r w:rsidRPr="002652DB">
        <w:rPr>
          <w:rFonts w:asciiTheme="majorHAnsi" w:hAnsiTheme="majorHAnsi" w:cstheme="majorHAnsi"/>
        </w:rPr>
        <w:t>UL diversity transmission for DFTsOFDM</w:t>
      </w:r>
      <w:r w:rsidR="00AD08EA" w:rsidRPr="002652DB">
        <w:rPr>
          <w:rFonts w:asciiTheme="majorHAnsi" w:hAnsiTheme="majorHAnsi" w:cstheme="majorHAnsi"/>
        </w:rPr>
        <w:t>, Mitsubishi Electric, RAN1#88</w:t>
      </w:r>
      <w:r w:rsidRPr="002652DB">
        <w:rPr>
          <w:rFonts w:asciiTheme="majorHAnsi" w:hAnsiTheme="majorHAnsi" w:cstheme="majorHAnsi"/>
        </w:rPr>
        <w:t>b</w:t>
      </w:r>
      <w:r w:rsidR="00AD08EA" w:rsidRPr="002652DB">
        <w:rPr>
          <w:rFonts w:asciiTheme="majorHAnsi" w:hAnsiTheme="majorHAnsi" w:cstheme="majorHAnsi"/>
        </w:rPr>
        <w:t xml:space="preserve">, </w:t>
      </w:r>
      <w:r w:rsidRPr="002652DB">
        <w:rPr>
          <w:rFonts w:asciiTheme="majorHAnsi" w:hAnsiTheme="majorHAnsi" w:cstheme="majorHAnsi"/>
        </w:rPr>
        <w:t>Spokane</w:t>
      </w:r>
      <w:r w:rsidR="00AD08EA" w:rsidRPr="002652DB">
        <w:rPr>
          <w:rFonts w:asciiTheme="majorHAnsi" w:hAnsiTheme="majorHAnsi" w:cstheme="majorHAnsi"/>
        </w:rPr>
        <w:t xml:space="preserve">, </w:t>
      </w:r>
      <w:r w:rsidRPr="002652DB">
        <w:rPr>
          <w:rFonts w:asciiTheme="majorHAnsi" w:hAnsiTheme="majorHAnsi" w:cstheme="majorHAnsi"/>
        </w:rPr>
        <w:t>Apr</w:t>
      </w:r>
      <w:r w:rsidR="00AD08EA" w:rsidRPr="002652DB">
        <w:rPr>
          <w:rFonts w:asciiTheme="majorHAnsi" w:hAnsiTheme="majorHAnsi" w:cstheme="majorHAnsi"/>
        </w:rPr>
        <w:t>. 2017</w:t>
      </w:r>
      <w:bookmarkEnd w:id="16"/>
    </w:p>
    <w:p w:rsidR="00A54F1A" w:rsidRPr="00A54F1A" w:rsidRDefault="00A54F1A" w:rsidP="00AA0DD8">
      <w:pPr>
        <w:pStyle w:val="Titre3"/>
        <w:numPr>
          <w:ilvl w:val="0"/>
          <w:numId w:val="10"/>
        </w:numPr>
        <w:rPr>
          <w:rFonts w:asciiTheme="majorHAnsi" w:hAnsiTheme="majorHAnsi" w:cstheme="majorHAnsi"/>
        </w:rPr>
      </w:pPr>
      <w:bookmarkStart w:id="18" w:name="_Ref477358745"/>
      <w:r>
        <w:t>X. Luo, P. Gaal, W. Chen, X. Zhang. And J. Montojo, “Transmit Diversity Scheme over Single SC-FDM Symbol for LTE-Advanced,” GLOBECOM 2009.</w:t>
      </w:r>
      <w:bookmarkEnd w:id="17"/>
      <w:bookmarkEnd w:id="18"/>
    </w:p>
    <w:p w:rsidR="006E469E" w:rsidRDefault="006E469E" w:rsidP="006E469E">
      <w:pPr>
        <w:pStyle w:val="Titre3"/>
        <w:numPr>
          <w:ilvl w:val="0"/>
          <w:numId w:val="10"/>
        </w:numPr>
      </w:pPr>
      <w:bookmarkStart w:id="19" w:name="_Ref471402488"/>
      <w:r w:rsidRPr="00970589">
        <w:t>R1-166004, “Response LS on realistic power amplifier model for NR waveform evaluation”, RAN4 LS, RA</w:t>
      </w:r>
      <w:r>
        <w:t>N1#85, Nanjing, China, May 2016</w:t>
      </w:r>
      <w:r w:rsidRPr="00603E6F">
        <w:t>.</w:t>
      </w:r>
      <w:bookmarkEnd w:id="19"/>
    </w:p>
    <w:p w:rsidR="00190654" w:rsidRPr="00190654" w:rsidRDefault="00190654" w:rsidP="00190654"/>
    <w:bookmarkEnd w:id="14"/>
    <w:p w:rsidR="0049738E" w:rsidRPr="00603E6F" w:rsidRDefault="0049738E" w:rsidP="0049738E"/>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7CC" w:rsidRDefault="005777CC" w:rsidP="00A81622">
      <w:r>
        <w:separator/>
      </w:r>
    </w:p>
  </w:endnote>
  <w:endnote w:type="continuationSeparator" w:id="0">
    <w:p w:rsidR="005777CC" w:rsidRDefault="005777CC" w:rsidP="00A81622">
      <w:r>
        <w:continuationSeparator/>
      </w:r>
    </w:p>
  </w:endnote>
  <w:endnote w:type="continuationNotice" w:id="1">
    <w:p w:rsidR="005777CC" w:rsidRDefault="005777CC"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7CC" w:rsidRDefault="005777CC" w:rsidP="00A81622">
      <w:r>
        <w:separator/>
      </w:r>
    </w:p>
  </w:footnote>
  <w:footnote w:type="continuationSeparator" w:id="0">
    <w:p w:rsidR="005777CC" w:rsidRDefault="005777CC" w:rsidP="00A81622">
      <w:r>
        <w:continuationSeparator/>
      </w:r>
    </w:p>
  </w:footnote>
  <w:footnote w:type="continuationNotice" w:id="1">
    <w:p w:rsidR="005777CC" w:rsidRDefault="005777CC"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72194"/>
    <w:multiLevelType w:val="hybridMultilevel"/>
    <w:tmpl w:val="AFE46600"/>
    <w:lvl w:ilvl="0" w:tplc="855EF01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5"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421EAD"/>
    <w:multiLevelType w:val="hybridMultilevel"/>
    <w:tmpl w:val="296C6B7C"/>
    <w:lvl w:ilvl="0" w:tplc="4914E52A">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9"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3"/>
  </w:num>
  <w:num w:numId="3">
    <w:abstractNumId w:val="26"/>
  </w:num>
  <w:num w:numId="4">
    <w:abstractNumId w:val="12"/>
  </w:num>
  <w:num w:numId="5">
    <w:abstractNumId w:val="30"/>
  </w:num>
  <w:num w:numId="6">
    <w:abstractNumId w:val="4"/>
  </w:num>
  <w:num w:numId="7">
    <w:abstractNumId w:val="15"/>
  </w:num>
  <w:num w:numId="8">
    <w:abstractNumId w:val="18"/>
  </w:num>
  <w:num w:numId="9">
    <w:abstractNumId w:val="6"/>
  </w:num>
  <w:num w:numId="10">
    <w:abstractNumId w:val="9"/>
  </w:num>
  <w:num w:numId="11">
    <w:abstractNumId w:val="1"/>
  </w:num>
  <w:num w:numId="12">
    <w:abstractNumId w:val="31"/>
  </w:num>
  <w:num w:numId="13">
    <w:abstractNumId w:val="14"/>
  </w:num>
  <w:num w:numId="14">
    <w:abstractNumId w:val="22"/>
  </w:num>
  <w:num w:numId="15">
    <w:abstractNumId w:val="28"/>
  </w:num>
  <w:num w:numId="16">
    <w:abstractNumId w:val="8"/>
  </w:num>
  <w:num w:numId="17">
    <w:abstractNumId w:val="3"/>
  </w:num>
  <w:num w:numId="18">
    <w:abstractNumId w:val="2"/>
  </w:num>
  <w:num w:numId="19">
    <w:abstractNumId w:val="29"/>
  </w:num>
  <w:num w:numId="20">
    <w:abstractNumId w:val="10"/>
  </w:num>
  <w:num w:numId="21">
    <w:abstractNumId w:val="17"/>
  </w:num>
  <w:num w:numId="22">
    <w:abstractNumId w:val="5"/>
  </w:num>
  <w:num w:numId="23">
    <w:abstractNumId w:val="26"/>
  </w:num>
  <w:num w:numId="24">
    <w:abstractNumId w:val="21"/>
  </w:num>
  <w:num w:numId="25">
    <w:abstractNumId w:val="11"/>
  </w:num>
  <w:num w:numId="26">
    <w:abstractNumId w:val="13"/>
  </w:num>
  <w:num w:numId="27">
    <w:abstractNumId w:val="16"/>
  </w:num>
  <w:num w:numId="28">
    <w:abstractNumId w:val="25"/>
  </w:num>
  <w:num w:numId="29">
    <w:abstractNumId w:val="19"/>
  </w:num>
  <w:num w:numId="30">
    <w:abstractNumId w:val="7"/>
  </w:num>
  <w:num w:numId="31">
    <w:abstractNumId w:val="27"/>
  </w:num>
  <w:num w:numId="32">
    <w:abstractNumId w:val="20"/>
  </w:num>
  <w:num w:numId="33">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1A6"/>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541"/>
    <w:rsid w:val="00117C28"/>
    <w:rsid w:val="00117D9D"/>
    <w:rsid w:val="00117ED5"/>
    <w:rsid w:val="0012017F"/>
    <w:rsid w:val="001207FF"/>
    <w:rsid w:val="00120E08"/>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0654"/>
    <w:rsid w:val="00191509"/>
    <w:rsid w:val="001927A9"/>
    <w:rsid w:val="0019300D"/>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4D4"/>
    <w:rsid w:val="001B0527"/>
    <w:rsid w:val="001B0946"/>
    <w:rsid w:val="001B1F2D"/>
    <w:rsid w:val="001B2654"/>
    <w:rsid w:val="001B2755"/>
    <w:rsid w:val="001B2C08"/>
    <w:rsid w:val="001B325F"/>
    <w:rsid w:val="001B44E0"/>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2DB"/>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798"/>
    <w:rsid w:val="00292908"/>
    <w:rsid w:val="00294DCE"/>
    <w:rsid w:val="00295E44"/>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AD1"/>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8F6"/>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3EAF"/>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4A6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1E8A"/>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3FE9"/>
    <w:rsid w:val="004C4467"/>
    <w:rsid w:val="004C4F58"/>
    <w:rsid w:val="004C4FA4"/>
    <w:rsid w:val="004C50C3"/>
    <w:rsid w:val="004C7456"/>
    <w:rsid w:val="004D1349"/>
    <w:rsid w:val="004D31E3"/>
    <w:rsid w:val="004D33B0"/>
    <w:rsid w:val="004D53B1"/>
    <w:rsid w:val="004D5BE4"/>
    <w:rsid w:val="004D652B"/>
    <w:rsid w:val="004D6A0B"/>
    <w:rsid w:val="004D7CD6"/>
    <w:rsid w:val="004E065C"/>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C24"/>
    <w:rsid w:val="00546F0A"/>
    <w:rsid w:val="005501AF"/>
    <w:rsid w:val="005520D1"/>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7CC"/>
    <w:rsid w:val="00577896"/>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C1F"/>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469E"/>
    <w:rsid w:val="006E5A6F"/>
    <w:rsid w:val="006E68BC"/>
    <w:rsid w:val="006E7279"/>
    <w:rsid w:val="006E7E29"/>
    <w:rsid w:val="006F05E2"/>
    <w:rsid w:val="006F0851"/>
    <w:rsid w:val="006F1CAE"/>
    <w:rsid w:val="006F2C2D"/>
    <w:rsid w:val="006F3132"/>
    <w:rsid w:val="006F37B7"/>
    <w:rsid w:val="006F4B22"/>
    <w:rsid w:val="006F4BFB"/>
    <w:rsid w:val="006F710C"/>
    <w:rsid w:val="006F7BDF"/>
    <w:rsid w:val="006F7FD0"/>
    <w:rsid w:val="00700C2B"/>
    <w:rsid w:val="00701D20"/>
    <w:rsid w:val="007023E2"/>
    <w:rsid w:val="00703334"/>
    <w:rsid w:val="007035F6"/>
    <w:rsid w:val="00703FA5"/>
    <w:rsid w:val="00705328"/>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E1"/>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29B8"/>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2F47"/>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5DE"/>
    <w:rsid w:val="00855EA8"/>
    <w:rsid w:val="00856921"/>
    <w:rsid w:val="00857023"/>
    <w:rsid w:val="00857692"/>
    <w:rsid w:val="00857770"/>
    <w:rsid w:val="0086068A"/>
    <w:rsid w:val="00860B45"/>
    <w:rsid w:val="00860C60"/>
    <w:rsid w:val="008613E5"/>
    <w:rsid w:val="00861EFA"/>
    <w:rsid w:val="0086304D"/>
    <w:rsid w:val="00863D38"/>
    <w:rsid w:val="008643C5"/>
    <w:rsid w:val="008646E1"/>
    <w:rsid w:val="00864700"/>
    <w:rsid w:val="0086481F"/>
    <w:rsid w:val="008654BD"/>
    <w:rsid w:val="00865CDF"/>
    <w:rsid w:val="0086625B"/>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D65"/>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765"/>
    <w:rsid w:val="008A1F2D"/>
    <w:rsid w:val="008A20F2"/>
    <w:rsid w:val="008A4CF7"/>
    <w:rsid w:val="008A7A82"/>
    <w:rsid w:val="008A7A9C"/>
    <w:rsid w:val="008B0382"/>
    <w:rsid w:val="008B0C51"/>
    <w:rsid w:val="008B1494"/>
    <w:rsid w:val="008B3C22"/>
    <w:rsid w:val="008B4255"/>
    <w:rsid w:val="008B49E0"/>
    <w:rsid w:val="008B4A2A"/>
    <w:rsid w:val="008B6034"/>
    <w:rsid w:val="008B690E"/>
    <w:rsid w:val="008B73A5"/>
    <w:rsid w:val="008B7CBC"/>
    <w:rsid w:val="008B7E3A"/>
    <w:rsid w:val="008B7E7D"/>
    <w:rsid w:val="008C0284"/>
    <w:rsid w:val="008C1906"/>
    <w:rsid w:val="008C19D6"/>
    <w:rsid w:val="008C1BCC"/>
    <w:rsid w:val="008C1C6B"/>
    <w:rsid w:val="008C239B"/>
    <w:rsid w:val="008C2740"/>
    <w:rsid w:val="008C3DF9"/>
    <w:rsid w:val="008C5890"/>
    <w:rsid w:val="008C5DF3"/>
    <w:rsid w:val="008C75E3"/>
    <w:rsid w:val="008C7DE7"/>
    <w:rsid w:val="008D0E87"/>
    <w:rsid w:val="008D1598"/>
    <w:rsid w:val="008D2CF9"/>
    <w:rsid w:val="008D48DC"/>
    <w:rsid w:val="008D4A7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713"/>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4FA7"/>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46B7"/>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113"/>
    <w:rsid w:val="009E270D"/>
    <w:rsid w:val="009E2D9D"/>
    <w:rsid w:val="009E2F47"/>
    <w:rsid w:val="009E2F98"/>
    <w:rsid w:val="009E2FA4"/>
    <w:rsid w:val="009E38EC"/>
    <w:rsid w:val="009E39E6"/>
    <w:rsid w:val="009E3F67"/>
    <w:rsid w:val="009E4CA7"/>
    <w:rsid w:val="009E4CC4"/>
    <w:rsid w:val="009E5DD7"/>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349"/>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4F1A"/>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08EA"/>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3BDD"/>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DFC"/>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5563"/>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0484"/>
    <w:rsid w:val="00ED1ACF"/>
    <w:rsid w:val="00ED2D82"/>
    <w:rsid w:val="00ED396A"/>
    <w:rsid w:val="00ED4A2C"/>
    <w:rsid w:val="00ED500A"/>
    <w:rsid w:val="00ED5D94"/>
    <w:rsid w:val="00ED5D97"/>
    <w:rsid w:val="00ED61AE"/>
    <w:rsid w:val="00ED79E3"/>
    <w:rsid w:val="00EE0604"/>
    <w:rsid w:val="00EE07C4"/>
    <w:rsid w:val="00EE0EE0"/>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99D"/>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068"/>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D61E542-70D1-42B3-A9C2-8E132E2ED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8</Pages>
  <Words>2352</Words>
  <Characters>12938</Characters>
  <Application>Microsoft Office Word</Application>
  <DocSecurity>0</DocSecurity>
  <Lines>107</Lines>
  <Paragraphs>30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7</cp:revision>
  <cp:lastPrinted>2016-08-10T06:06:00Z</cp:lastPrinted>
  <dcterms:created xsi:type="dcterms:W3CDTF">2017-03-22T15:33:00Z</dcterms:created>
  <dcterms:modified xsi:type="dcterms:W3CDTF">2017-03-22T17:04:00Z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